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spacing w:val="-1"/>
        </w:rPr>
        <w:t xml:space="preserve">Обязательные требования</w:t>
      </w:r>
      <w:r>
        <w:rPr>
          <w:rFonts w:ascii="Times" w:hAnsi="Times" w:cs="Times"/>
          <w:sz w:val="24"/>
          <w:sz-cs w:val="24"/>
          <w:spacing w:val="-1"/>
          <w:color w:val="172B4D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Использование go fmt и goimports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Следование Effective Go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Go актуальной версии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Использование JSON-API. Каждая операция должна быть RPC-like, то есть выполнять определенное законченное действие.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PostgreSQL или MySQL в качестве хранилища данных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Наличие команды make up в Makefile, которая: поднимает без ошибок приложение с помощью Docker контейнеров, и готовую инфраструктуру для работы приложения (база данных, миграции, данные для тестирования работы приложения)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Описание API методов с работающим запросом и ответом в одном из следующих форматов: .http файлы (IDEA) с ответами, curl команды с ответами в README.md, коллекция Postman, построенная на основе swagger / openapi коллекции.</w:t>
      </w:r>
    </w:p>
    <w:p>
      <w:pPr>
        <w:spacing w:before="450"/>
      </w:pPr>
      <w:r>
        <w:rPr>
          <w:rFonts w:ascii="Times" w:hAnsi="Times" w:cs="Times"/>
          <w:sz w:val="24"/>
          <w:sz-cs w:val="24"/>
          <w:b/>
          <w:spacing w:val="-1"/>
        </w:rPr>
        <w:t xml:space="preserve">Критерии оценки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Работоспособность API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API выполняет заявленные функции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API предусматривает граничные кейсы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Нахождение и решение потенциальных проблем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Организация и читаемость кода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Обработка ошибок</w:t>
      </w:r>
    </w:p>
    <w:p>
      <w:pPr>
        <w:spacing w:before="450"/>
      </w:pPr>
      <w:r>
        <w:rPr>
          <w:rFonts w:ascii="Times" w:hAnsi="Times" w:cs="Times"/>
          <w:sz w:val="24"/>
          <w:sz-cs w:val="24"/>
          <w:u w:val="single"/>
          <w:spacing w:val="-1"/>
          <w:color w:val="000000"/>
        </w:rPr>
        <w:t xml:space="preserve">Будет плюсом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Покрытие кода unit или функциональными тестами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Аргументация выбора пакетов в go.mod, приложить отдельным файлом </w:t>
      </w:r>
      <w:r>
        <w:rPr>
          <w:rFonts w:ascii="Times" w:hAnsi="Times" w:cs="Times"/>
          <w:sz w:val="21"/>
          <w:sz-cs w:val="21"/>
          <w:color w:val="0052CC"/>
        </w:rPr>
        <w:t xml:space="preserve">packages.md</w:t>
      </w:r>
    </w:p>
    <w:p>
      <w:pPr>
        <w:spacing w:before="450"/>
      </w:pPr>
      <w:r>
        <w:rPr>
          <w:rFonts w:ascii="Times" w:hAnsi="Times" w:cs="Times"/>
          <w:sz w:val="24"/>
          <w:sz-cs w:val="24"/>
          <w:spacing w:val="-1"/>
          <w:color w:val="172B4D"/>
        </w:rPr>
        <w:t xml:space="preserve">Результат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Проект должен быть выложен в публичный репозиторий Github/Gitlab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В проекте должен присутствовать README и содержать в себе: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Инструкцию по запуску сервиса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Инструкцию по запуску тестов при их наличии</w:t>
      </w:r>
    </w:p>
    <w:p>
      <w:pPr/>
      <w:r>
        <w:rPr>
          <w:rFonts w:ascii="Times" w:hAnsi="Times" w:cs="Times"/>
          <w:sz w:val="30"/>
          <w:sz-cs w:val="30"/>
          <w:b/>
          <w:spacing w:val="-2"/>
        </w:rPr>
        <w:t xml:space="preserve">Задание</w:t>
      </w:r>
    </w:p>
    <w:p>
      <w:pPr>
        <w:spacing w:before="150"/>
      </w:pPr>
      <w:r>
        <w:rPr>
          <w:rFonts w:ascii="Times" w:hAnsi="Times" w:cs="Times"/>
          <w:sz w:val="24"/>
          <w:sz-cs w:val="24"/>
          <w:b/>
          <w:spacing w:val="-1"/>
        </w:rPr>
        <w:t xml:space="preserve">#1. API для работы с товарами на складе</w:t>
      </w:r>
    </w:p>
    <w:p>
      <w:pPr>
        <w:spacing w:before="150"/>
      </w:pPr>
      <w:r>
        <w:rPr>
          <w:rFonts w:ascii="Times" w:hAnsi="Times" w:cs="Times"/>
          <w:sz w:val="21"/>
          <w:sz-cs w:val="21"/>
          <w:color w:val="172B4D"/>
        </w:rPr>
        <w:t xml:space="preserve">Необходимо спроектировать и реализовать API методы для работы с товарами на одном складе. </w:t>
        <w:br/>
        <w:t xml:space="preserve">Учесть, что вызов API может быть одновременно из разных систем и они могут работать с одинаковыми товарами.</w:t>
        <w:br/>
        <w:t xml:space="preserve">Методы API можно расширять доп. параметрами на своё усмотрение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Спроектировать и реализовать БД для хранения следующих сущностей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Склад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название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признак доступности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Товар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название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размер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уникальный код</w:t>
      </w:r>
    </w:p>
    <w:p>
      <w:pPr>
        <w:ind w:left="2160" w:first-line="-2160"/>
        <w:spacing w:before="100" w:after="24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количество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Реализовать методы API: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резервирование товара на складе для доставки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 вход принимает:</w:t>
      </w:r>
    </w:p>
    <w:p>
      <w:pPr>
        <w:ind w:left="2880" w:first-line="-288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массив уникальных кодов товара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освобождение резерва товаров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 вход принимает</w:t>
      </w:r>
    </w:p>
    <w:p>
      <w:pPr>
        <w:ind w:left="2880" w:first-line="-288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массив уникальных кодов товара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получение кол-ва оставшихся товаров на складе</w:t>
      </w:r>
    </w:p>
    <w:p>
      <w:pPr>
        <w:ind w:left="2160" w:first-line="-216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на вход принимает:</w:t>
      </w:r>
    </w:p>
    <w:p>
      <w:pPr>
        <w:ind w:left="2880" w:first-line="-288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идентификатор склада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Будет плюсом</w:t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21"/>
          <w:sz-cs w:val="21"/>
          <w:color w:val="172B4D"/>
        </w:rPr>
        <w:t xml:space="preserve"/>
        <w:tab/>
        <w:t xml:space="preserve">•</w:t>
        <w:tab/>
        <w:t xml:space="preserve">Реализация логики работы с товарами, которые одновременно могут находиться на нескольких складах</w:t>
      </w:r>
    </w:p>
    <w:p>
      <w:pPr/>
      <w:r>
        <w:rPr>
          <w:rFonts w:ascii="Times" w:hAnsi="Times" w:cs="Times"/>
          <w:sz w:val="21"/>
          <w:sz-cs w:val="21"/>
          <w:color w:val="172B4D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172B4D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Petrova</dc:creator>
</cp:coreProperties>
</file>

<file path=docProps/meta.xml><?xml version="1.0" encoding="utf-8"?>
<meta xmlns="http://schemas.apple.com/cocoa/2006/metadata">
  <generator>CocoaOOXMLWriter/2299.7</generator>
</meta>
</file>