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BA9F9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Circuit Analysis</w:t>
      </w:r>
    </w:p>
    <w:p w14:paraId="0A30FE6D">
      <w:pPr>
        <w:jc w:val="center"/>
        <w:rPr>
          <w:rFonts w:hint="default"/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</w:rPr>
        <w:t xml:space="preserve">Lab </w:t>
      </w:r>
      <w:r>
        <w:rPr>
          <w:rFonts w:hint="default"/>
          <w:b/>
          <w:bCs/>
          <w:sz w:val="44"/>
          <w:szCs w:val="44"/>
          <w:lang w:val="en-US"/>
        </w:rPr>
        <w:t>10</w:t>
      </w:r>
    </w:p>
    <w:p w14:paraId="1FAD8F03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Assignment</w:t>
      </w:r>
    </w:p>
    <w:p w14:paraId="6CDC3230">
      <w:pPr>
        <w:jc w:val="center"/>
        <w:rPr>
          <w:rFonts w:hint="default"/>
          <w:b/>
          <w:bCs/>
          <w:sz w:val="44"/>
          <w:szCs w:val="44"/>
          <w:lang w:val="en-US"/>
        </w:rPr>
      </w:pPr>
    </w:p>
    <w:p w14:paraId="1530F721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Submitted by:</w:t>
      </w:r>
    </w:p>
    <w:p w14:paraId="3942E069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Wardah Shahid </w:t>
      </w:r>
    </w:p>
    <w:p w14:paraId="369B0B9E">
      <w:pPr>
        <w:jc w:val="center"/>
        <w:rPr>
          <w:sz w:val="36"/>
          <w:szCs w:val="36"/>
        </w:rPr>
      </w:pPr>
      <w:r>
        <w:rPr>
          <w:sz w:val="36"/>
          <w:szCs w:val="36"/>
        </w:rPr>
        <w:t>2025-CE-81</w:t>
      </w:r>
    </w:p>
    <w:p w14:paraId="0719D2BB">
      <w:pPr>
        <w:jc w:val="center"/>
        <w:rPr>
          <w:sz w:val="36"/>
          <w:szCs w:val="36"/>
        </w:rPr>
      </w:pPr>
    </w:p>
    <w:p w14:paraId="2188C502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F46264C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University of Engineering </w:t>
      </w:r>
    </w:p>
    <w:p w14:paraId="778A0CCB">
      <w:pPr>
        <w:ind w:firstLine="2601" w:firstLineChars="500"/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and Technology</w:t>
      </w:r>
    </w:p>
    <w:p w14:paraId="05B350C5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br w:type="page"/>
      </w:r>
    </w:p>
    <w:p w14:paraId="7E25243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  <w:t>Circuit(</w:t>
      </w:r>
      <w:r>
        <w:rPr>
          <w:rFonts w:hint="default" w:ascii="Times New Roman" w:hAnsi="Times New Roman" w:eastAsia="sans-serif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  <w:t>I_L</w:t>
      </w:r>
      <w:r>
        <w:rPr>
          <w:rFonts w:hint="default" w:ascii="Times New Roman" w:hAnsi="Times New Roman" w:eastAsia="SimSun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  <w:t>):</w:t>
      </w:r>
    </w:p>
    <w:p w14:paraId="39217D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  <w:drawing>
          <wp:inline distT="0" distB="0" distL="114300" distR="114300">
            <wp:extent cx="5271135" cy="2787650"/>
            <wp:effectExtent l="0" t="0" r="12065" b="6350"/>
            <wp:docPr id="1" name="Picture 1" descr="circuit lab 1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ircuit lab 10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37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</w:pPr>
    </w:p>
    <w:p w14:paraId="5FC105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  <w:t>Explanation:</w:t>
      </w:r>
    </w:p>
    <w:p w14:paraId="2D8CC5BA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Objective: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To measure the actual current flowing through the load resistor in the original network.</w:t>
      </w:r>
    </w:p>
    <w:p w14:paraId="6A8B708C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Process: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The circuit is constructed with the power supply (RPS), three </w:t>
      </w:r>
      <w:r>
        <w:rPr>
          <w:rFonts w:hint="default" w:ascii="Times New Roman" w:hAnsi="Times New Roman" w:eastAsia="sans-serif" w:cs="Times New Roman"/>
          <w:sz w:val="28"/>
          <w:szCs w:val="28"/>
          <w:lang w:val="en-US"/>
        </w:rPr>
        <w:t>330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resistors, and a </w:t>
      </w:r>
      <w:r>
        <w:rPr>
          <w:rFonts w:hint="default" w:ascii="Times New Roman" w:hAnsi="Times New Roman" w:eastAsia="sans-serif" w:cs="Times New Roman"/>
          <w:sz w:val="28"/>
          <w:szCs w:val="28"/>
          <w:lang w:val="en-US"/>
        </w:rPr>
        <w:t>1k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load resistor.</w:t>
      </w:r>
    </w:p>
    <w:p w14:paraId="3EACB7E9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Measurement: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A DC ammeter is connected in series with the</w:t>
      </w:r>
      <w:r>
        <w:rPr>
          <w:rFonts w:hint="default" w:ascii="Times New Roman" w:hAnsi="Times New Roman" w:eastAsia="sans-serif" w:cs="Times New Roman"/>
          <w:sz w:val="28"/>
          <w:szCs w:val="28"/>
          <w:lang w:val="en-US"/>
        </w:rPr>
        <w:t xml:space="preserve"> 1k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load resistor.</w:t>
      </w:r>
    </w:p>
    <w:p w14:paraId="3B8A3EB2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Result: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The reading obtained from the ammeter is recorded as the original load current (I_L).</w:t>
      </w:r>
    </w:p>
    <w:p w14:paraId="2DC652B6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  <w:t>Circuit(</w:t>
      </w:r>
      <w:r>
        <w:rPr>
          <w:rFonts w:hint="default" w:ascii="Times New Roman" w:hAnsi="Times New Roman" w:eastAsia="sans-serif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  <w:t>V_TH):</w:t>
      </w:r>
    </w:p>
    <w:p w14:paraId="4F8CDA74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ans-serif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  <w:drawing>
          <wp:inline distT="0" distB="0" distL="114300" distR="114300">
            <wp:extent cx="5264150" cy="2425700"/>
            <wp:effectExtent l="0" t="0" r="6350" b="0"/>
            <wp:docPr id="5" name="Picture 5" descr="lab 10 circui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ab 10 circuit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6C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ans-serif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</w:pPr>
    </w:p>
    <w:p w14:paraId="6A68B7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ans-serif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ans-serif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  <w:t>Explanation:</w:t>
      </w:r>
    </w:p>
    <w:p w14:paraId="7EBF0106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Objective: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To determine the open-circuit voltage across the load terminals.</w:t>
      </w:r>
    </w:p>
    <w:p w14:paraId="68021471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Process: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The load resistor 1k and the ammeter are removed from the circuit, leaving terminals A and B open.</w:t>
      </w:r>
    </w:p>
    <w:p w14:paraId="493E89F6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Measurement: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A voltmeter is connected across these open terminals while the power supply  is still active.</w:t>
      </w:r>
    </w:p>
    <w:p w14:paraId="615CEEB7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Result: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The voltage measured by the voltmeter is the Thevenin’s Equivalent Voltage </w:t>
      </w:r>
      <w:r>
        <w:rPr>
          <w:rFonts w:hint="default" w:ascii="Times New Roman" w:hAnsi="Times New Roman" w:eastAsia="sans-serif" w:cs="Times New Roman"/>
          <w:sz w:val="28"/>
          <w:szCs w:val="28"/>
          <w:lang w:val="en-US"/>
        </w:rPr>
        <w:t>(</w:t>
      </w:r>
      <w:r>
        <w:rPr>
          <w:rFonts w:hint="default" w:ascii="Times New Roman" w:hAnsi="Times New Roman" w:eastAsia="sans-serif" w:cs="Times New Roman"/>
          <w:sz w:val="28"/>
          <w:szCs w:val="28"/>
        </w:rPr>
        <w:t>V_TH</w:t>
      </w:r>
      <w:r>
        <w:rPr>
          <w:rFonts w:hint="default" w:ascii="Times New Roman" w:hAnsi="Times New Roman" w:eastAsia="sans-serif" w:cs="Times New Roman"/>
          <w:sz w:val="28"/>
          <w:szCs w:val="28"/>
          <w:lang w:val="en-US"/>
        </w:rPr>
        <w:t>)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</w:p>
    <w:p w14:paraId="3CB623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1"/>
          <w:szCs w:val="31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ans-serif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  <w:t xml:space="preserve">Circuit </w:t>
      </w:r>
      <w:r>
        <w:rPr>
          <w:rFonts w:hint="default" w:ascii="Times New Roman" w:hAnsi="Times New Roman" w:eastAsia="sans-serif" w:cs="Times New Roman"/>
          <w:b w:val="0"/>
          <w:bCs w:val="0"/>
          <w:kern w:val="0"/>
          <w:sz w:val="32"/>
          <w:szCs w:val="32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31"/>
          <w:szCs w:val="31"/>
          <w:lang w:val="en-US" w:eastAsia="zh-CN" w:bidi="ar"/>
          <w14:ligatures w14:val="standardContextual"/>
        </w:rPr>
        <w:t>Thevenin’s Equivalent):</w:t>
      </w:r>
    </w:p>
    <w:p w14:paraId="3D43C5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1"/>
          <w:szCs w:val="31"/>
          <w:lang w:val="en-US" w:eastAsia="zh-CN" w:bidi="ar"/>
          <w14:ligatures w14:val="standardContextual"/>
        </w:rPr>
      </w:pPr>
    </w:p>
    <w:p w14:paraId="09BC39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1"/>
          <w:szCs w:val="31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1"/>
          <w:szCs w:val="31"/>
          <w:lang w:val="en-US" w:eastAsia="zh-CN" w:bidi="ar"/>
          <w14:ligatures w14:val="standardContextual"/>
        </w:rPr>
        <w:drawing>
          <wp:inline distT="0" distB="0" distL="114300" distR="114300">
            <wp:extent cx="5092700" cy="3092450"/>
            <wp:effectExtent l="0" t="0" r="0" b="6350"/>
            <wp:docPr id="3" name="Picture 3" descr="lab 10 tas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ab 10 task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3F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1"/>
          <w:szCs w:val="31"/>
          <w:lang w:val="en-US" w:eastAsia="zh-CN" w:bidi="ar"/>
          <w14:ligatures w14:val="standardContextual"/>
        </w:rPr>
      </w:pPr>
    </w:p>
    <w:p w14:paraId="42BD38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US" w:eastAsia="zh-CN" w:bidi="ar"/>
          <w14:ligatures w14:val="standardContextual"/>
        </w:rPr>
        <w:t xml:space="preserve">Explanation: </w:t>
      </w:r>
    </w:p>
    <w:p w14:paraId="0C0F9F68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Objective: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To simplify the complex network into a single source and a single resistor to verify the theorem.</w:t>
      </w:r>
    </w:p>
    <w:p w14:paraId="7FCD9E2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Process: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A new circuit is built using the calculated V_{TH} as the voltage source and R_{TH} as a series resistor.</w:t>
      </w:r>
    </w:p>
    <w:p w14:paraId="5CD1B35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Measurement: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The original 1</w:t>
      </w:r>
      <w:r>
        <w:rPr>
          <w:rFonts w:hint="default" w:ascii="Times New Roman" w:hAnsi="Times New Roman" w:eastAsia="sans-serif" w:cs="Times New Roman"/>
          <w:sz w:val="28"/>
          <w:szCs w:val="28"/>
          <w:lang w:val="en-US"/>
        </w:rPr>
        <w:t>k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load resistor and the ammeter are reconnected to this simplified series circuit.</w:t>
      </w:r>
    </w:p>
    <w:p w14:paraId="1AA2A226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Verification: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The current reading on the ammeter is compared with the current from "Circuit - 1." If they are equal, the theorem is verified.</w:t>
      </w:r>
    </w:p>
    <w:p w14:paraId="7F28FD30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  <w:lang w:val="en-US" w:eastAsia="zh-CN"/>
        </w:rPr>
      </w:pPr>
      <w:bookmarkStart w:id="0" w:name="_GoBack"/>
      <w:bookmarkEnd w:id="0"/>
    </w:p>
    <w:p w14:paraId="7AFFE4F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US" w:eastAsia="zh-CN" w:bidi="ar"/>
          <w14:ligatures w14:val="standardContextual"/>
        </w:rPr>
      </w:pPr>
    </w:p>
    <w:p w14:paraId="1E9E0B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US" w:eastAsia="zh-CN" w:bidi="ar"/>
          <w14:ligatures w14:val="standardContextual"/>
        </w:rPr>
      </w:pPr>
    </w:p>
    <w:p w14:paraId="19F501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US" w:eastAsia="zh-CN" w:bidi="ar"/>
          <w14:ligatures w14:val="standardContextual"/>
        </w:rPr>
      </w:pPr>
    </w:p>
    <w:p w14:paraId="19F99F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US" w:eastAsia="zh-CN" w:bidi="ar"/>
          <w14:ligatures w14:val="standardContextual"/>
        </w:rPr>
      </w:pPr>
    </w:p>
    <w:p w14:paraId="4A49B6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US" w:eastAsia="zh-CN" w:bidi="ar"/>
          <w14:ligatures w14:val="standardContextual"/>
        </w:rPr>
      </w:pPr>
    </w:p>
    <w:p w14:paraId="303C71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US" w:eastAsia="zh-CN" w:bidi="ar"/>
          <w14:ligatures w14:val="standardContextual"/>
        </w:rPr>
      </w:pPr>
    </w:p>
    <w:p w14:paraId="3D4E84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US" w:eastAsia="zh-CN" w:bidi="ar"/>
          <w14:ligatures w14:val="standardContextual"/>
        </w:rPr>
      </w:pPr>
    </w:p>
    <w:p w14:paraId="74DE2A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US" w:eastAsia="zh-CN" w:bidi="ar"/>
          <w14:ligatures w14:val="standardContextual"/>
        </w:rPr>
      </w:pPr>
    </w:p>
    <w:p w14:paraId="09A4C2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US" w:eastAsia="zh-CN" w:bidi="ar"/>
          <w14:ligatures w14:val="standardContextual"/>
        </w:rPr>
      </w:pPr>
    </w:p>
    <w:p w14:paraId="152B80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US" w:eastAsia="zh-CN" w:bidi="ar"/>
          <w14:ligatures w14:val="standardContextual"/>
        </w:rPr>
      </w:pPr>
    </w:p>
    <w:p w14:paraId="0D526B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US" w:eastAsia="zh-CN" w:bidi="ar"/>
          <w14:ligatures w14:val="standardContextual"/>
        </w:rPr>
      </w:pPr>
    </w:p>
    <w:p w14:paraId="71017B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US" w:eastAsia="zh-CN" w:bidi="ar"/>
          <w14:ligatures w14:val="standardContextual"/>
        </w:rPr>
      </w:pPr>
    </w:p>
    <w:p w14:paraId="2828E3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US" w:eastAsia="zh-CN" w:bidi="ar"/>
          <w14:ligatures w14:val="standardContextual"/>
        </w:rPr>
      </w:pPr>
    </w:p>
    <w:p w14:paraId="1C9E46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US" w:eastAsia="zh-CN" w:bidi="ar"/>
          <w14:ligatures w14:val="standardContextual"/>
        </w:rPr>
      </w:pPr>
    </w:p>
    <w:p w14:paraId="16B2FE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US" w:eastAsia="zh-CN" w:bidi="ar"/>
          <w14:ligatures w14:val="standardContextual"/>
        </w:rPr>
      </w:pPr>
    </w:p>
    <w:p w14:paraId="7C7985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US" w:eastAsia="zh-CN" w:bidi="ar"/>
          <w14:ligatures w14:val="standardContextual"/>
        </w:rPr>
      </w:pPr>
    </w:p>
    <w:p w14:paraId="71535A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US" w:eastAsia="zh-CN" w:bidi="ar"/>
          <w14:ligatures w14:val="standardContextual"/>
        </w:rPr>
      </w:pPr>
    </w:p>
    <w:p w14:paraId="380C20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US" w:eastAsia="zh-CN" w:bidi="ar"/>
          <w14:ligatures w14:val="standardContextual"/>
        </w:rPr>
      </w:pPr>
    </w:p>
    <w:p w14:paraId="7F1461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US" w:eastAsia="zh-CN" w:bidi="ar"/>
          <w14:ligatures w14:val="standardContextual"/>
        </w:rPr>
      </w:pPr>
    </w:p>
    <w:p w14:paraId="61520A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US" w:eastAsia="zh-CN" w:bidi="ar"/>
          <w14:ligatures w14:val="standardContextual"/>
        </w:rPr>
        <w:t>Table:</w:t>
      </w:r>
    </w:p>
    <w:p w14:paraId="0E26632E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978400" cy="1327150"/>
            <wp:effectExtent l="0" t="0" r="0" b="635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2059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36DBED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ans-serif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</w:pPr>
    </w:p>
    <w:p w14:paraId="6223BF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36"/>
          <w:szCs w:val="36"/>
          <w:lang w:val="en-US" w:eastAsia="zh-CN" w:bidi="ar"/>
          <w14:ligatures w14:val="standardContextual"/>
        </w:rPr>
      </w:pPr>
    </w:p>
    <w:p w14:paraId="2404DB6E">
      <w:pPr>
        <w:ind w:firstLine="2601" w:firstLineChars="500"/>
        <w:jc w:val="both"/>
        <w:rPr>
          <w:rFonts w:ascii="Times New Roman" w:hAnsi="Times New Roman" w:cs="Times New Roman"/>
          <w:b/>
          <w:bCs/>
          <w:sz w:val="52"/>
          <w:szCs w:val="52"/>
        </w:rPr>
      </w:pPr>
    </w:p>
    <w:p w14:paraId="56B233D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5267E2"/>
    <w:multiLevelType w:val="singleLevel"/>
    <w:tmpl w:val="025267E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A90737"/>
    <w:rsid w:val="05A90737"/>
    <w:rsid w:val="558D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2026-05-11T05:07:00Z</dcterms:created>
  <dc:creator>admin</dc:creator>
  <cp:lastModifiedBy>Wardah Shahid</cp:lastModifiedBy>
  <dcterms:modified xsi:type="dcterms:W3CDTF">2026-05-11T13:43:09Z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77ADE45BCC9346D098CF78B1656E8906_11</vt:lpwstr>
  </property>
  <property fmtid="{D5CDD505-2E9C-101B-9397-08002B2CF9AE}" pid="4" name="KSOTemplateDocerSaveRecord">
    <vt:lpwstr>eyJoZGlkIjoiYjAzNzY3YjdlNjhlZGE2YTc4MDRiZTlhNzI3M2NiMTIiLCJ1c2VySWQiOiIxOTQyMDEwMDE2NTc3In0=</vt:lpwstr>
  </property>
</Properties>
</file>