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43E3" w14:textId="77777777" w:rsidR="00A302ED" w:rsidRPr="00A302ED" w:rsidRDefault="00A302ED" w:rsidP="00A302ED">
      <w:pPr>
        <w:spacing w:line="240" w:lineRule="auto"/>
        <w:rPr>
          <w:rFonts w:ascii="Times New Roman" w:hAnsi="Times New Roman" w:cs="Times New Roman"/>
          <w:b/>
          <w:bCs/>
          <w:sz w:val="28"/>
          <w:szCs w:val="28"/>
        </w:rPr>
      </w:pPr>
      <w:r w:rsidRPr="00A302ED">
        <w:rPr>
          <w:rFonts w:ascii="Times New Roman" w:hAnsi="Times New Roman" w:cs="Times New Roman"/>
          <w:b/>
          <w:bCs/>
          <w:sz w:val="28"/>
          <w:szCs w:val="28"/>
        </w:rPr>
        <w:t>VI. Требования охраны труда при транспортировке и перемещении грузов</w:t>
      </w:r>
    </w:p>
    <w:p w14:paraId="6D992F9B"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89. При транспортировке и перемещении грузов необходимо соблюдать следующие требования:</w:t>
      </w:r>
    </w:p>
    <w:p w14:paraId="28C44CD7"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 грузы на транспортных средствах устанавливаются (укладываются) и закрепляются так, чтобы во время транспортировки не происходило их смещение и падение;</w:t>
      </w:r>
    </w:p>
    <w:p w14:paraId="0DC48D94"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2) при транспортировке груз размещается и закрепляется на транспортном средстве так, чтобы он не подвергал опасности водителя транспортного средства и окружающих, не ограничивал водителю обзор, не нарушал устойчивость транспортного средства, не закрывал световые и сигнальные приборы, номерные знаки и регистрационные номера транспортного средства, не препятствовал восприятию сигналов, подаваемых рукой;</w:t>
      </w:r>
    </w:p>
    <w:p w14:paraId="48782674"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3) при транспортировке тарно-штучных грузов применяется пакетирование с применением поддонов, контейнеров и других пакетирующих средств. В пакетах грузы скрепляются между собой.</w:t>
      </w:r>
    </w:p>
    <w:p w14:paraId="4468191D"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Груз на поддоне не должен выступать на расстояние более 20 мм с каждой стороны поддона; для ящиков длиной более 500 мм это расстояние допускается увеличивать до 70 мм;</w:t>
      </w:r>
    </w:p>
    <w:p w14:paraId="689859BB"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4) при транспортировке длинномерных грузов длиной более 6 м их необходимо крепить к прицепу транспортного средства;</w:t>
      </w:r>
    </w:p>
    <w:p w14:paraId="37B73FDD"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5) при одновременной транспортировке длинномерных грузов различной длины более короткие грузы располагаются сверху.</w:t>
      </w:r>
    </w:p>
    <w:p w14:paraId="0C19CE77"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Запрещается располагать длинномерный груз в кузове по диагонали, оставляя выступающие за боковые габариты транспортного средства концы, а также загораживать грузом двери кабины транспортного средства;</w:t>
      </w:r>
    </w:p>
    <w:p w14:paraId="55126227"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6) для того, чтобы во время торможения или движения транспортного средства под уклон груз не надвигался на кабину транспортного средства, груз располагается на транспортном средстве выше, чем на прицепе-роспуске на величину, равную деформации (осадке) рессор транспортного средства от груза;</w:t>
      </w:r>
    </w:p>
    <w:p w14:paraId="3D4C517A"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7) крупноразмерные конструкции из легких бетонов, не рассчитанные для работы на изгиб, а также изделия толщиной менее 20 см для транспортировки устанавливаются в вертикальное положение;</w:t>
      </w:r>
    </w:p>
    <w:p w14:paraId="33DE90F5"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8) при транспортировке стеновых железобетонных панелей в вертикальном положении панели укладываются всей опорной плоскостью на платформу транспортного средства или опираются на подкладки, расположенные на расстоянии не более 0,5 м друг от друга;</w:t>
      </w:r>
    </w:p>
    <w:p w14:paraId="7C6BE676"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lastRenderedPageBreak/>
        <w:t>9) при наклонном транспортном положении стеновые панели опираются нижней и боковой поверхностью на подкладки, расположенные друг от друга на расстоянии не более 0,5 м;</w:t>
      </w:r>
    </w:p>
    <w:p w14:paraId="52752671"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10) при горизонтальном транспортном положении панели перекрытий опираются по местам установки закладных деталей;</w:t>
      </w:r>
    </w:p>
    <w:p w14:paraId="73509457"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11) панели, транспортируемые вертикально, крепятся с двух сторон, а при наклонном положении - с одной стороны, выше положения центра тяжести панели;</w:t>
      </w:r>
    </w:p>
    <w:p w14:paraId="7557BEE5"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12) при одновременной транспортировке нескольких панелей между ними устанавливаются разделительные прокладки, предотвращающие соприкосновение панелей и возможное их повреждение от соударения или трения в процессе транспортировки;</w:t>
      </w:r>
    </w:p>
    <w:p w14:paraId="4243499B"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13) железобетонные фермы для транспортировки устанавливаются на транспортное средство в вертикальное положение с опиранием по концам в местах установки закладных деталей или в узлах нижнего пояса, имеющих в этих местах более развитую арматурную сетку;</w:t>
      </w:r>
    </w:p>
    <w:p w14:paraId="2A6BA73C"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14) железобетонные плиты покрытий, перекрытий транспортируются в горизонтальном положении с опиранием в местах расположения закладных деталей. При транспортировке плиты могут укладываться стопой на подкладках толщиной, превышающей на 20 мм высоту монтажных петель;</w:t>
      </w:r>
    </w:p>
    <w:p w14:paraId="7EFB8029"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15) мелкоштучные стеновые материалы (кирпич, стеновые керамические камни, бетонные и мелкие шлакобетонные блоки, камни из известняков) транспортируются с применением пакетного способа на поддонах или инвентарных приспособлениях с использованием подъемно-транспортных средств общего назначения;</w:t>
      </w:r>
    </w:p>
    <w:p w14:paraId="11709D28"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16) размещение пакетов мелкоштучных стеновых материалов на транспортном средстве зависит от габаритов транспортного пакета и способа производства погрузочно-разгрузочных работ:</w:t>
      </w:r>
    </w:p>
    <w:p w14:paraId="2849CF8A"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 xml:space="preserve">в кузовах автомобилей, полуприцепов и прицепов грузоподъемностью 5 т при применении на погрузке-разгрузке подхватов целесообразна </w:t>
      </w:r>
      <w:proofErr w:type="spellStart"/>
      <w:r w:rsidRPr="00A302ED">
        <w:rPr>
          <w:rFonts w:ascii="Times New Roman" w:hAnsi="Times New Roman" w:cs="Times New Roman"/>
          <w:sz w:val="28"/>
          <w:szCs w:val="28"/>
        </w:rPr>
        <w:t>одноленточная</w:t>
      </w:r>
      <w:proofErr w:type="spellEnd"/>
      <w:r w:rsidRPr="00A302ED">
        <w:rPr>
          <w:rFonts w:ascii="Times New Roman" w:hAnsi="Times New Roman" w:cs="Times New Roman"/>
          <w:sz w:val="28"/>
          <w:szCs w:val="28"/>
        </w:rPr>
        <w:t xml:space="preserve"> или Т-образная установка пакетов;</w:t>
      </w:r>
    </w:p>
    <w:p w14:paraId="32ABA9F7"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в большегрузных автопоездах - установка пакетов поперек кузова отдельными штабелями.</w:t>
      </w:r>
    </w:p>
    <w:p w14:paraId="7EA4317B"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90. Движение транспортных средств и погрузочных машин по площадкам буртового хранения организуется по утвержденным схемам без встречных потоков.</w:t>
      </w:r>
    </w:p>
    <w:p w14:paraId="7C0B4A32"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91. Перевозка работников в кузове транспортного средства запрещается.</w:t>
      </w:r>
    </w:p>
    <w:p w14:paraId="582A4C96"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Если необходима перевозка работников, то они располагаются в кабине транспортного средства.</w:t>
      </w:r>
    </w:p>
    <w:p w14:paraId="69C8EA09"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lastRenderedPageBreak/>
        <w:t>92. При ручном перемещении грузов необходимо соблюдать следующие требования:</w:t>
      </w:r>
    </w:p>
    <w:p w14:paraId="5BC7496A"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 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w:t>
      </w:r>
    </w:p>
    <w:p w14:paraId="075841CD"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2) если груз перемещается вручную группой работников, каждый должен идти в ногу со всеми;</w:t>
      </w:r>
    </w:p>
    <w:p w14:paraId="5FE1043A"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3) при перемещении катящихся грузов работнику надлежит находиться сзади перемещаемого груза, толкая его от себя;</w:t>
      </w:r>
    </w:p>
    <w:p w14:paraId="566C0C18"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4) при перемещении вручную длинномерных грузов (бревна, балки, рельсы) используются специальные захваты, при этом масса груза, приходящаяся на одного работника, не должна превышать 40 кг.</w:t>
      </w:r>
    </w:p>
    <w:p w14:paraId="0A18EB8F"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93. Перемещение грузов неизвестной массы с помощью грузоподъемного оборудования производится после определения их фактической массы.</w:t>
      </w:r>
    </w:p>
    <w:p w14:paraId="79118392"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Запрещается поднимать груз, масса которого превышает грузоподъемность используемого грузоподъемного оборудования.</w:t>
      </w:r>
    </w:p>
    <w:p w14:paraId="2FF161D7"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94. Зона подъема и перемещения грузов электромагнитными и грейферными кранами ограждается.</w:t>
      </w:r>
    </w:p>
    <w:p w14:paraId="5A433ADD"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95. При перемещении грузов автопогрузчиками и электропогрузчиками (далее - погрузчики) необходимо соблюдать следующие требования:</w:t>
      </w:r>
    </w:p>
    <w:p w14:paraId="60360E3E"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 при перемещении грузов погрузчиками с вилочными захватами груз располагается равномерно относительно элементов захвата погрузчика. При этом груз приподнимается от пола на 300 - 400 мм. Максимальный уклон площадки при перемещении грузов погрузчиками не должен превышать величину угла наклона рамы погрузчика;</w:t>
      </w:r>
    </w:p>
    <w:p w14:paraId="14CD5830"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2) перемещение тары и установка ее в штабель погрузчиком с вилочными захватами производятся поштучно;</w:t>
      </w:r>
    </w:p>
    <w:p w14:paraId="24BCDFFD"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3) перемещение грузов больших размеров производиться при движении погрузчика задним ходом и только в сопровождении работника, ответственного за безопасное производство работ, осуществляющего подачу предупредительных сигналов водителю погрузчика.</w:t>
      </w:r>
    </w:p>
    <w:p w14:paraId="7CE9A960"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96. Крыши контейнеров и устройств для перемещения груза освобождаются от посторонних предметов и очищаются от грязи.</w:t>
      </w:r>
    </w:p>
    <w:p w14:paraId="2B13B81F"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Запрещается находиться на контейнере или внутри контейнера во время его подъема, опускания или перемещения, а также на рядом расположенных контейнерах.</w:t>
      </w:r>
    </w:p>
    <w:p w14:paraId="2E8B34A3"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97. Перед подъемом и перемещением груза проверяются устойчивость груза и правильность его строповки.</w:t>
      </w:r>
    </w:p>
    <w:p w14:paraId="2D6F0D9C"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lastRenderedPageBreak/>
        <w:t>98. При перемещении ящичных грузов необходимо соблюдать следующие требования:</w:t>
      </w:r>
    </w:p>
    <w:p w14:paraId="1869DC96"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 во избежание ранения рук каждый ящик необходимо предварительно осмотреть. Торчащие гвозди необходимо забить, концы железной обвязки - убрать заподлицо;</w:t>
      </w:r>
    </w:p>
    <w:p w14:paraId="304021D6"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2) при необходимости снятия ящика с верха штабеля необходимо предварительно убедиться, что лежащий рядом груз занимает устойчивое положение и не может упасть;</w:t>
      </w:r>
    </w:p>
    <w:p w14:paraId="275EE330"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3) перемещать груз по горизонтальной плоскости, толкая его за края, запрещается.</w:t>
      </w:r>
    </w:p>
    <w:p w14:paraId="7E3E771C"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99. Запрещается переносить на плечах лесоматериалы сразу после их обработки антисептиком. Работники без специальной одежды и средств индивидуальной защиты органов дыхания фильтрующего типа к работам с лесоматериалом, обработанным антисептиками, не допускаются.</w:t>
      </w:r>
    </w:p>
    <w:p w14:paraId="3D6C62BC"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100. При перемещении тяжеловесных грузов необходимо соблюдать следующие требования:</w:t>
      </w:r>
    </w:p>
    <w:p w14:paraId="02149FFD"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 тяжеловесные, но небольшие по размерам грузы, перемещаются по лестницам зданий с применением троса по доскам, уложенным на ступенях лестниц. Для облегчения перемещения под основание груза подкладываются катки;</w:t>
      </w:r>
    </w:p>
    <w:p w14:paraId="6C4A70A5"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2) находиться на ступенях лестницы за поднимаемым или перед опускаемым при помощи троса тяжеловесным грузом запрещается;</w:t>
      </w:r>
    </w:p>
    <w:p w14:paraId="7ED04B92"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3) тяжеловесные грузы перемещаются по горизонтальной поверхности при помощи катков. При этом путь перемещения очищается от всех посторонних предметов. Для подведения катков под груз применяются ломы или домкраты. Во избежание опрокидывания груза следует иметь дополнительные катки, подкладываемые под переднюю часть груза;</w:t>
      </w:r>
    </w:p>
    <w:p w14:paraId="17F02AE2"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4) при спуске тяжеловесного груза по наклонной плоскости необходимо принять меры по исключению возможного скатывания или сползания груза под действием собственной тяжести или его опрокидывания.</w:t>
      </w:r>
    </w:p>
    <w:p w14:paraId="73A9E9E7"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101. Перемещение не разобранного стога волоком одним или несколькими тракторами производится по заранее выбранному и подготовленному для этого маршруту под руководством работника, ответственного за безопасное производство работ.</w:t>
      </w:r>
    </w:p>
    <w:p w14:paraId="587F3FE6"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 xml:space="preserve">102. При проведении погрузочно-разгрузочных работ и работ по размещению </w:t>
      </w:r>
      <w:proofErr w:type="spellStart"/>
      <w:r w:rsidRPr="00A302ED">
        <w:rPr>
          <w:rFonts w:ascii="Times New Roman" w:hAnsi="Times New Roman" w:cs="Times New Roman"/>
          <w:sz w:val="28"/>
          <w:szCs w:val="28"/>
        </w:rPr>
        <w:t>затаренной</w:t>
      </w:r>
      <w:proofErr w:type="spellEnd"/>
      <w:r w:rsidRPr="00A302ED">
        <w:rPr>
          <w:rFonts w:ascii="Times New Roman" w:hAnsi="Times New Roman" w:cs="Times New Roman"/>
          <w:sz w:val="28"/>
          <w:szCs w:val="28"/>
        </w:rPr>
        <w:t xml:space="preserve"> плодоовощной продукции (мешки, ящики, контейнеры, сетки, пакеты, поддоны) на специально оборудованных местах длительного хранения применяются стационарные и передвижные ленточные конвейеры, наклонные спуски, </w:t>
      </w:r>
      <w:proofErr w:type="spellStart"/>
      <w:r w:rsidRPr="00A302ED">
        <w:rPr>
          <w:rFonts w:ascii="Times New Roman" w:hAnsi="Times New Roman" w:cs="Times New Roman"/>
          <w:sz w:val="28"/>
          <w:szCs w:val="28"/>
        </w:rPr>
        <w:t>пакетоукладчики</w:t>
      </w:r>
      <w:proofErr w:type="spellEnd"/>
      <w:r w:rsidRPr="00A302ED">
        <w:rPr>
          <w:rFonts w:ascii="Times New Roman" w:hAnsi="Times New Roman" w:cs="Times New Roman"/>
          <w:sz w:val="28"/>
          <w:szCs w:val="28"/>
        </w:rPr>
        <w:t>, автопогрузчики и электропогрузчики.</w:t>
      </w:r>
    </w:p>
    <w:p w14:paraId="24C3337F"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lastRenderedPageBreak/>
        <w:t xml:space="preserve">Скорость движения ленты конвейера для транспортирования </w:t>
      </w:r>
      <w:proofErr w:type="spellStart"/>
      <w:r w:rsidRPr="00A302ED">
        <w:rPr>
          <w:rFonts w:ascii="Times New Roman" w:hAnsi="Times New Roman" w:cs="Times New Roman"/>
          <w:sz w:val="28"/>
          <w:szCs w:val="28"/>
        </w:rPr>
        <w:t>затаренной</w:t>
      </w:r>
      <w:proofErr w:type="spellEnd"/>
      <w:r w:rsidRPr="00A302ED">
        <w:rPr>
          <w:rFonts w:ascii="Times New Roman" w:hAnsi="Times New Roman" w:cs="Times New Roman"/>
          <w:sz w:val="28"/>
          <w:szCs w:val="28"/>
        </w:rPr>
        <w:t xml:space="preserve"> плодоовощной продукции не должна превышать 1,2 м/с.</w:t>
      </w:r>
    </w:p>
    <w:p w14:paraId="6F9B59EA"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103. Перемещение длинномерных грузов вручную производится работниками на одноименных плечах (правых или левых). Поднимать и опускать длинномерный груз необходимо по команде работника, ответственного за безопасное производство работ.</w:t>
      </w:r>
    </w:p>
    <w:p w14:paraId="35D54A7D" w14:textId="77777777" w:rsidR="00A302ED" w:rsidRPr="00A302ED" w:rsidRDefault="00A302ED" w:rsidP="00A302ED">
      <w:pPr>
        <w:spacing w:line="240" w:lineRule="auto"/>
        <w:rPr>
          <w:rFonts w:ascii="Times New Roman" w:hAnsi="Times New Roman" w:cs="Times New Roman"/>
          <w:sz w:val="28"/>
          <w:szCs w:val="28"/>
        </w:rPr>
      </w:pPr>
      <w:r w:rsidRPr="00A302ED">
        <w:rPr>
          <w:rFonts w:ascii="Times New Roman" w:hAnsi="Times New Roman" w:cs="Times New Roman"/>
          <w:sz w:val="28"/>
          <w:szCs w:val="28"/>
        </w:rPr>
        <w:t>104. При перемещении груза на носилках обоим работникам необходимо идти "в ногу". Команду для опускания груза, переносимого на носилках, должен подавать работник, идущий сзади.</w:t>
      </w:r>
    </w:p>
    <w:p w14:paraId="22A20754" w14:textId="52976737" w:rsidR="00634606" w:rsidRPr="00FB5F79" w:rsidRDefault="00A302ED" w:rsidP="00A302ED">
      <w:pPr>
        <w:spacing w:line="240" w:lineRule="auto"/>
      </w:pPr>
      <w:r w:rsidRPr="00A302ED">
        <w:rPr>
          <w:rFonts w:ascii="Times New Roman" w:hAnsi="Times New Roman" w:cs="Times New Roman"/>
          <w:sz w:val="28"/>
          <w:szCs w:val="28"/>
        </w:rPr>
        <w:t>Перемещение груза на носилках допускается на расстояние не более 50 м по горизонтали.</w:t>
      </w:r>
    </w:p>
    <w:sectPr w:rsidR="00634606" w:rsidRPr="00FB5F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5B2"/>
    <w:rsid w:val="000775FD"/>
    <w:rsid w:val="000F072C"/>
    <w:rsid w:val="0020044A"/>
    <w:rsid w:val="00202525"/>
    <w:rsid w:val="002042BE"/>
    <w:rsid w:val="00227469"/>
    <w:rsid w:val="002A1AED"/>
    <w:rsid w:val="00391D87"/>
    <w:rsid w:val="004139B4"/>
    <w:rsid w:val="00426185"/>
    <w:rsid w:val="00467A4A"/>
    <w:rsid w:val="00484F7E"/>
    <w:rsid w:val="004B43E9"/>
    <w:rsid w:val="00534377"/>
    <w:rsid w:val="00592CC9"/>
    <w:rsid w:val="0059457E"/>
    <w:rsid w:val="00634606"/>
    <w:rsid w:val="00812566"/>
    <w:rsid w:val="0082343E"/>
    <w:rsid w:val="0083633A"/>
    <w:rsid w:val="008F7426"/>
    <w:rsid w:val="0096381F"/>
    <w:rsid w:val="00966ED1"/>
    <w:rsid w:val="00973F9A"/>
    <w:rsid w:val="00A302ED"/>
    <w:rsid w:val="00A83E80"/>
    <w:rsid w:val="00AC110E"/>
    <w:rsid w:val="00AF18DE"/>
    <w:rsid w:val="00B03E2B"/>
    <w:rsid w:val="00B95A54"/>
    <w:rsid w:val="00C031A0"/>
    <w:rsid w:val="00C92807"/>
    <w:rsid w:val="00D72F90"/>
    <w:rsid w:val="00D737BF"/>
    <w:rsid w:val="00D855B2"/>
    <w:rsid w:val="00F33E16"/>
    <w:rsid w:val="00F8043D"/>
    <w:rsid w:val="00FB5F79"/>
    <w:rsid w:val="00FC2647"/>
    <w:rsid w:val="00FF49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26D0"/>
  <w15:chartTrackingRefBased/>
  <w15:docId w15:val="{A34DC2BD-4BFB-4DEC-B00D-8F22F66C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85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85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855B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855B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855B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55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55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55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55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55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855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855B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855B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855B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855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855B2"/>
    <w:rPr>
      <w:rFonts w:eastAsiaTheme="majorEastAsia" w:cstheme="majorBidi"/>
      <w:color w:val="595959" w:themeColor="text1" w:themeTint="A6"/>
    </w:rPr>
  </w:style>
  <w:style w:type="character" w:customStyle="1" w:styleId="80">
    <w:name w:val="Заголовок 8 Знак"/>
    <w:basedOn w:val="a0"/>
    <w:link w:val="8"/>
    <w:uiPriority w:val="9"/>
    <w:semiHidden/>
    <w:rsid w:val="00D855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855B2"/>
    <w:rPr>
      <w:rFonts w:eastAsiaTheme="majorEastAsia" w:cstheme="majorBidi"/>
      <w:color w:val="272727" w:themeColor="text1" w:themeTint="D8"/>
    </w:rPr>
  </w:style>
  <w:style w:type="paragraph" w:styleId="a3">
    <w:name w:val="Title"/>
    <w:basedOn w:val="a"/>
    <w:next w:val="a"/>
    <w:link w:val="a4"/>
    <w:uiPriority w:val="10"/>
    <w:qFormat/>
    <w:rsid w:val="00D85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55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55B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855B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855B2"/>
    <w:pPr>
      <w:spacing w:before="160"/>
      <w:jc w:val="center"/>
    </w:pPr>
    <w:rPr>
      <w:i/>
      <w:iCs/>
      <w:color w:val="404040" w:themeColor="text1" w:themeTint="BF"/>
    </w:rPr>
  </w:style>
  <w:style w:type="character" w:customStyle="1" w:styleId="22">
    <w:name w:val="Цитата 2 Знак"/>
    <w:basedOn w:val="a0"/>
    <w:link w:val="21"/>
    <w:uiPriority w:val="29"/>
    <w:rsid w:val="00D855B2"/>
    <w:rPr>
      <w:i/>
      <w:iCs/>
      <w:color w:val="404040" w:themeColor="text1" w:themeTint="BF"/>
    </w:rPr>
  </w:style>
  <w:style w:type="paragraph" w:styleId="a7">
    <w:name w:val="List Paragraph"/>
    <w:basedOn w:val="a"/>
    <w:uiPriority w:val="34"/>
    <w:qFormat/>
    <w:rsid w:val="00D855B2"/>
    <w:pPr>
      <w:ind w:left="720"/>
      <w:contextualSpacing/>
    </w:pPr>
  </w:style>
  <w:style w:type="character" w:styleId="a8">
    <w:name w:val="Intense Emphasis"/>
    <w:basedOn w:val="a0"/>
    <w:uiPriority w:val="21"/>
    <w:qFormat/>
    <w:rsid w:val="00D855B2"/>
    <w:rPr>
      <w:i/>
      <w:iCs/>
      <w:color w:val="0F4761" w:themeColor="accent1" w:themeShade="BF"/>
    </w:rPr>
  </w:style>
  <w:style w:type="paragraph" w:styleId="a9">
    <w:name w:val="Intense Quote"/>
    <w:basedOn w:val="a"/>
    <w:next w:val="a"/>
    <w:link w:val="aa"/>
    <w:uiPriority w:val="30"/>
    <w:qFormat/>
    <w:rsid w:val="00D85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855B2"/>
    <w:rPr>
      <w:i/>
      <w:iCs/>
      <w:color w:val="0F4761" w:themeColor="accent1" w:themeShade="BF"/>
    </w:rPr>
  </w:style>
  <w:style w:type="character" w:styleId="ab">
    <w:name w:val="Intense Reference"/>
    <w:basedOn w:val="a0"/>
    <w:uiPriority w:val="32"/>
    <w:qFormat/>
    <w:rsid w:val="00D855B2"/>
    <w:rPr>
      <w:b/>
      <w:bCs/>
      <w:smallCaps/>
      <w:color w:val="0F4761" w:themeColor="accent1" w:themeShade="BF"/>
      <w:spacing w:val="5"/>
    </w:rPr>
  </w:style>
  <w:style w:type="character" w:styleId="ac">
    <w:name w:val="Hyperlink"/>
    <w:basedOn w:val="a0"/>
    <w:uiPriority w:val="99"/>
    <w:unhideWhenUsed/>
    <w:rsid w:val="00D855B2"/>
    <w:rPr>
      <w:color w:val="467886" w:themeColor="hyperlink"/>
      <w:u w:val="single"/>
    </w:rPr>
  </w:style>
  <w:style w:type="character" w:styleId="ad">
    <w:name w:val="Unresolved Mention"/>
    <w:basedOn w:val="a0"/>
    <w:uiPriority w:val="99"/>
    <w:semiHidden/>
    <w:unhideWhenUsed/>
    <w:rsid w:val="00D85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92942">
      <w:bodyDiv w:val="1"/>
      <w:marLeft w:val="0"/>
      <w:marRight w:val="0"/>
      <w:marTop w:val="0"/>
      <w:marBottom w:val="0"/>
      <w:divBdr>
        <w:top w:val="none" w:sz="0" w:space="0" w:color="auto"/>
        <w:left w:val="none" w:sz="0" w:space="0" w:color="auto"/>
        <w:bottom w:val="none" w:sz="0" w:space="0" w:color="auto"/>
        <w:right w:val="none" w:sz="0" w:space="0" w:color="auto"/>
      </w:divBdr>
      <w:divsChild>
        <w:div w:id="1536696869">
          <w:marLeft w:val="0"/>
          <w:marRight w:val="0"/>
          <w:marTop w:val="210"/>
          <w:marBottom w:val="0"/>
          <w:divBdr>
            <w:top w:val="none" w:sz="0" w:space="0" w:color="auto"/>
            <w:left w:val="none" w:sz="0" w:space="0" w:color="auto"/>
            <w:bottom w:val="none" w:sz="0" w:space="0" w:color="auto"/>
            <w:right w:val="none" w:sz="0" w:space="0" w:color="auto"/>
          </w:divBdr>
        </w:div>
      </w:divsChild>
    </w:div>
    <w:div w:id="340088260">
      <w:bodyDiv w:val="1"/>
      <w:marLeft w:val="0"/>
      <w:marRight w:val="0"/>
      <w:marTop w:val="0"/>
      <w:marBottom w:val="0"/>
      <w:divBdr>
        <w:top w:val="none" w:sz="0" w:space="0" w:color="auto"/>
        <w:left w:val="none" w:sz="0" w:space="0" w:color="auto"/>
        <w:bottom w:val="none" w:sz="0" w:space="0" w:color="auto"/>
        <w:right w:val="none" w:sz="0" w:space="0" w:color="auto"/>
      </w:divBdr>
      <w:divsChild>
        <w:div w:id="1279098329">
          <w:marLeft w:val="0"/>
          <w:marRight w:val="0"/>
          <w:marTop w:val="210"/>
          <w:marBottom w:val="0"/>
          <w:divBdr>
            <w:top w:val="none" w:sz="0" w:space="0" w:color="auto"/>
            <w:left w:val="none" w:sz="0" w:space="0" w:color="auto"/>
            <w:bottom w:val="none" w:sz="0" w:space="0" w:color="auto"/>
            <w:right w:val="none" w:sz="0" w:space="0" w:color="auto"/>
          </w:divBdr>
        </w:div>
      </w:divsChild>
    </w:div>
    <w:div w:id="822434574">
      <w:bodyDiv w:val="1"/>
      <w:marLeft w:val="0"/>
      <w:marRight w:val="0"/>
      <w:marTop w:val="0"/>
      <w:marBottom w:val="0"/>
      <w:divBdr>
        <w:top w:val="none" w:sz="0" w:space="0" w:color="auto"/>
        <w:left w:val="none" w:sz="0" w:space="0" w:color="auto"/>
        <w:bottom w:val="none" w:sz="0" w:space="0" w:color="auto"/>
        <w:right w:val="none" w:sz="0" w:space="0" w:color="auto"/>
      </w:divBdr>
      <w:divsChild>
        <w:div w:id="1811705451">
          <w:marLeft w:val="0"/>
          <w:marRight w:val="0"/>
          <w:marTop w:val="210"/>
          <w:marBottom w:val="0"/>
          <w:divBdr>
            <w:top w:val="none" w:sz="0" w:space="0" w:color="auto"/>
            <w:left w:val="none" w:sz="0" w:space="0" w:color="auto"/>
            <w:bottom w:val="none" w:sz="0" w:space="0" w:color="auto"/>
            <w:right w:val="none" w:sz="0" w:space="0" w:color="auto"/>
          </w:divBdr>
        </w:div>
      </w:divsChild>
    </w:div>
    <w:div w:id="882181375">
      <w:bodyDiv w:val="1"/>
      <w:marLeft w:val="0"/>
      <w:marRight w:val="0"/>
      <w:marTop w:val="0"/>
      <w:marBottom w:val="0"/>
      <w:divBdr>
        <w:top w:val="none" w:sz="0" w:space="0" w:color="auto"/>
        <w:left w:val="none" w:sz="0" w:space="0" w:color="auto"/>
        <w:bottom w:val="none" w:sz="0" w:space="0" w:color="auto"/>
        <w:right w:val="none" w:sz="0" w:space="0" w:color="auto"/>
      </w:divBdr>
      <w:divsChild>
        <w:div w:id="449207474">
          <w:marLeft w:val="0"/>
          <w:marRight w:val="0"/>
          <w:marTop w:val="210"/>
          <w:marBottom w:val="0"/>
          <w:divBdr>
            <w:top w:val="none" w:sz="0" w:space="0" w:color="auto"/>
            <w:left w:val="none" w:sz="0" w:space="0" w:color="auto"/>
            <w:bottom w:val="none" w:sz="0" w:space="0" w:color="auto"/>
            <w:right w:val="none" w:sz="0" w:space="0" w:color="auto"/>
          </w:divBdr>
        </w:div>
      </w:divsChild>
    </w:div>
    <w:div w:id="1068574502">
      <w:bodyDiv w:val="1"/>
      <w:marLeft w:val="0"/>
      <w:marRight w:val="0"/>
      <w:marTop w:val="0"/>
      <w:marBottom w:val="0"/>
      <w:divBdr>
        <w:top w:val="none" w:sz="0" w:space="0" w:color="auto"/>
        <w:left w:val="none" w:sz="0" w:space="0" w:color="auto"/>
        <w:bottom w:val="none" w:sz="0" w:space="0" w:color="auto"/>
        <w:right w:val="none" w:sz="0" w:space="0" w:color="auto"/>
      </w:divBdr>
      <w:divsChild>
        <w:div w:id="837234029">
          <w:marLeft w:val="0"/>
          <w:marRight w:val="0"/>
          <w:marTop w:val="210"/>
          <w:marBottom w:val="0"/>
          <w:divBdr>
            <w:top w:val="none" w:sz="0" w:space="0" w:color="auto"/>
            <w:left w:val="none" w:sz="0" w:space="0" w:color="auto"/>
            <w:bottom w:val="none" w:sz="0" w:space="0" w:color="auto"/>
            <w:right w:val="none" w:sz="0" w:space="0" w:color="auto"/>
          </w:divBdr>
        </w:div>
      </w:divsChild>
    </w:div>
    <w:div w:id="1085877346">
      <w:bodyDiv w:val="1"/>
      <w:marLeft w:val="0"/>
      <w:marRight w:val="0"/>
      <w:marTop w:val="0"/>
      <w:marBottom w:val="0"/>
      <w:divBdr>
        <w:top w:val="none" w:sz="0" w:space="0" w:color="auto"/>
        <w:left w:val="none" w:sz="0" w:space="0" w:color="auto"/>
        <w:bottom w:val="none" w:sz="0" w:space="0" w:color="auto"/>
        <w:right w:val="none" w:sz="0" w:space="0" w:color="auto"/>
      </w:divBdr>
    </w:div>
    <w:div w:id="1089157684">
      <w:bodyDiv w:val="1"/>
      <w:marLeft w:val="0"/>
      <w:marRight w:val="0"/>
      <w:marTop w:val="0"/>
      <w:marBottom w:val="0"/>
      <w:divBdr>
        <w:top w:val="none" w:sz="0" w:space="0" w:color="auto"/>
        <w:left w:val="none" w:sz="0" w:space="0" w:color="auto"/>
        <w:bottom w:val="none" w:sz="0" w:space="0" w:color="auto"/>
        <w:right w:val="none" w:sz="0" w:space="0" w:color="auto"/>
      </w:divBdr>
      <w:divsChild>
        <w:div w:id="601686114">
          <w:marLeft w:val="0"/>
          <w:marRight w:val="0"/>
          <w:marTop w:val="210"/>
          <w:marBottom w:val="0"/>
          <w:divBdr>
            <w:top w:val="none" w:sz="0" w:space="0" w:color="auto"/>
            <w:left w:val="none" w:sz="0" w:space="0" w:color="auto"/>
            <w:bottom w:val="none" w:sz="0" w:space="0" w:color="auto"/>
            <w:right w:val="none" w:sz="0" w:space="0" w:color="auto"/>
          </w:divBdr>
        </w:div>
      </w:divsChild>
    </w:div>
    <w:div w:id="1318535566">
      <w:bodyDiv w:val="1"/>
      <w:marLeft w:val="0"/>
      <w:marRight w:val="0"/>
      <w:marTop w:val="0"/>
      <w:marBottom w:val="0"/>
      <w:divBdr>
        <w:top w:val="none" w:sz="0" w:space="0" w:color="auto"/>
        <w:left w:val="none" w:sz="0" w:space="0" w:color="auto"/>
        <w:bottom w:val="none" w:sz="0" w:space="0" w:color="auto"/>
        <w:right w:val="none" w:sz="0" w:space="0" w:color="auto"/>
      </w:divBdr>
      <w:divsChild>
        <w:div w:id="2080209887">
          <w:marLeft w:val="0"/>
          <w:marRight w:val="0"/>
          <w:marTop w:val="210"/>
          <w:marBottom w:val="0"/>
          <w:divBdr>
            <w:top w:val="none" w:sz="0" w:space="0" w:color="auto"/>
            <w:left w:val="none" w:sz="0" w:space="0" w:color="auto"/>
            <w:bottom w:val="none" w:sz="0" w:space="0" w:color="auto"/>
            <w:right w:val="none" w:sz="0" w:space="0" w:color="auto"/>
          </w:divBdr>
        </w:div>
      </w:divsChild>
    </w:div>
    <w:div w:id="1368945423">
      <w:bodyDiv w:val="1"/>
      <w:marLeft w:val="0"/>
      <w:marRight w:val="0"/>
      <w:marTop w:val="0"/>
      <w:marBottom w:val="0"/>
      <w:divBdr>
        <w:top w:val="none" w:sz="0" w:space="0" w:color="auto"/>
        <w:left w:val="none" w:sz="0" w:space="0" w:color="auto"/>
        <w:bottom w:val="none" w:sz="0" w:space="0" w:color="auto"/>
        <w:right w:val="none" w:sz="0" w:space="0" w:color="auto"/>
      </w:divBdr>
      <w:divsChild>
        <w:div w:id="1876388723">
          <w:marLeft w:val="0"/>
          <w:marRight w:val="0"/>
          <w:marTop w:val="210"/>
          <w:marBottom w:val="0"/>
          <w:divBdr>
            <w:top w:val="none" w:sz="0" w:space="0" w:color="auto"/>
            <w:left w:val="none" w:sz="0" w:space="0" w:color="auto"/>
            <w:bottom w:val="none" w:sz="0" w:space="0" w:color="auto"/>
            <w:right w:val="none" w:sz="0" w:space="0" w:color="auto"/>
          </w:divBdr>
        </w:div>
      </w:divsChild>
    </w:div>
    <w:div w:id="1466119022">
      <w:bodyDiv w:val="1"/>
      <w:marLeft w:val="0"/>
      <w:marRight w:val="0"/>
      <w:marTop w:val="0"/>
      <w:marBottom w:val="0"/>
      <w:divBdr>
        <w:top w:val="none" w:sz="0" w:space="0" w:color="auto"/>
        <w:left w:val="none" w:sz="0" w:space="0" w:color="auto"/>
        <w:bottom w:val="none" w:sz="0" w:space="0" w:color="auto"/>
        <w:right w:val="none" w:sz="0" w:space="0" w:color="auto"/>
      </w:divBdr>
      <w:divsChild>
        <w:div w:id="2099251643">
          <w:marLeft w:val="0"/>
          <w:marRight w:val="0"/>
          <w:marTop w:val="210"/>
          <w:marBottom w:val="0"/>
          <w:divBdr>
            <w:top w:val="none" w:sz="0" w:space="0" w:color="auto"/>
            <w:left w:val="none" w:sz="0" w:space="0" w:color="auto"/>
            <w:bottom w:val="none" w:sz="0" w:space="0" w:color="auto"/>
            <w:right w:val="none" w:sz="0" w:space="0" w:color="auto"/>
          </w:divBdr>
        </w:div>
      </w:divsChild>
    </w:div>
    <w:div w:id="1706558314">
      <w:bodyDiv w:val="1"/>
      <w:marLeft w:val="0"/>
      <w:marRight w:val="0"/>
      <w:marTop w:val="0"/>
      <w:marBottom w:val="0"/>
      <w:divBdr>
        <w:top w:val="none" w:sz="0" w:space="0" w:color="auto"/>
        <w:left w:val="none" w:sz="0" w:space="0" w:color="auto"/>
        <w:bottom w:val="none" w:sz="0" w:space="0" w:color="auto"/>
        <w:right w:val="none" w:sz="0" w:space="0" w:color="auto"/>
      </w:divBdr>
    </w:div>
    <w:div w:id="1770660684">
      <w:bodyDiv w:val="1"/>
      <w:marLeft w:val="0"/>
      <w:marRight w:val="0"/>
      <w:marTop w:val="0"/>
      <w:marBottom w:val="0"/>
      <w:divBdr>
        <w:top w:val="none" w:sz="0" w:space="0" w:color="auto"/>
        <w:left w:val="none" w:sz="0" w:space="0" w:color="auto"/>
        <w:bottom w:val="none" w:sz="0" w:space="0" w:color="auto"/>
        <w:right w:val="none" w:sz="0" w:space="0" w:color="auto"/>
      </w:divBdr>
    </w:div>
    <w:div w:id="1790388826">
      <w:bodyDiv w:val="1"/>
      <w:marLeft w:val="0"/>
      <w:marRight w:val="0"/>
      <w:marTop w:val="0"/>
      <w:marBottom w:val="0"/>
      <w:divBdr>
        <w:top w:val="none" w:sz="0" w:space="0" w:color="auto"/>
        <w:left w:val="none" w:sz="0" w:space="0" w:color="auto"/>
        <w:bottom w:val="none" w:sz="0" w:space="0" w:color="auto"/>
        <w:right w:val="none" w:sz="0" w:space="0" w:color="auto"/>
      </w:divBdr>
      <w:divsChild>
        <w:div w:id="1338851662">
          <w:marLeft w:val="0"/>
          <w:marRight w:val="0"/>
          <w:marTop w:val="210"/>
          <w:marBottom w:val="0"/>
          <w:divBdr>
            <w:top w:val="none" w:sz="0" w:space="0" w:color="auto"/>
            <w:left w:val="none" w:sz="0" w:space="0" w:color="auto"/>
            <w:bottom w:val="none" w:sz="0" w:space="0" w:color="auto"/>
            <w:right w:val="none" w:sz="0" w:space="0" w:color="auto"/>
          </w:divBdr>
        </w:div>
      </w:divsChild>
    </w:div>
    <w:div w:id="1792701552">
      <w:bodyDiv w:val="1"/>
      <w:marLeft w:val="0"/>
      <w:marRight w:val="0"/>
      <w:marTop w:val="0"/>
      <w:marBottom w:val="0"/>
      <w:divBdr>
        <w:top w:val="none" w:sz="0" w:space="0" w:color="auto"/>
        <w:left w:val="none" w:sz="0" w:space="0" w:color="auto"/>
        <w:bottom w:val="none" w:sz="0" w:space="0" w:color="auto"/>
        <w:right w:val="none" w:sz="0" w:space="0" w:color="auto"/>
      </w:divBdr>
    </w:div>
    <w:div w:id="1820732071">
      <w:bodyDiv w:val="1"/>
      <w:marLeft w:val="0"/>
      <w:marRight w:val="0"/>
      <w:marTop w:val="0"/>
      <w:marBottom w:val="0"/>
      <w:divBdr>
        <w:top w:val="none" w:sz="0" w:space="0" w:color="auto"/>
        <w:left w:val="none" w:sz="0" w:space="0" w:color="auto"/>
        <w:bottom w:val="none" w:sz="0" w:space="0" w:color="auto"/>
        <w:right w:val="none" w:sz="0" w:space="0" w:color="auto"/>
      </w:divBdr>
    </w:div>
    <w:div w:id="201853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1161</Words>
  <Characters>8261</Characters>
  <Application>Microsoft Office Word</Application>
  <DocSecurity>0</DocSecurity>
  <Lines>168</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Tikhon</dc:creator>
  <cp:keywords/>
  <dc:description/>
  <cp:lastModifiedBy>Tikhon</cp:lastModifiedBy>
  <cp:revision>2</cp:revision>
  <cp:lastPrinted>2026-05-23T10:51:00Z</cp:lastPrinted>
  <dcterms:created xsi:type="dcterms:W3CDTF">2026-05-23T15:56:00Z</dcterms:created>
  <dcterms:modified xsi:type="dcterms:W3CDTF">2026-05-23T15:56:00Z</dcterms:modified>
</cp:coreProperties>
</file>