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footerReference r:id="rId6" w:type="first"/>
          <w:pgSz w:h="16838" w:w="11906" w:orient="portrait"/>
          <w:pgMar w:bottom="1440" w:top="540" w:left="893" w:right="893" w:header="720" w:footer="720"/>
          <w:pgNumType w:start="1"/>
          <w:titlePg w:val="1"/>
        </w:sectPr>
      </w:pPr>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Paper Title* (use style: paper title)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1: 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st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Given Name Surname </w:t>
        <w:br w:type="textWrapping"/>
        <w:t xml:space="preserve">line 2: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dept. name of organization </w:t>
        <w:br w:type="textWrapping"/>
        <w:t xml:space="preserve">(of Affiliation)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t xml:space="preserve">line 3: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name of organization </w:t>
        <w:br w:type="textWrapping"/>
        <w:t xml:space="preserve">(of Affiliation)</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4: City, Country</w:t>
        <w:br w:type="textWrapping"/>
        <w:t xml:space="preserve">line 5: email address or ORCID</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1: 4</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Given Name Surname</w:t>
        <w:br w:type="textWrapping"/>
        <w:t xml:space="preserve">line 2: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dept. name of organization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(of Affiliation)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t xml:space="preserve">line 3: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name of organization </w:t>
        <w:br w:type="textWrapping"/>
        <w:t xml:space="preserve">(of Affiliation)</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4: City, Country</w:t>
        <w:br w:type="textWrapping"/>
        <w:t xml:space="preserve">line 5: email address  or ORCID</w:t>
      </w: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1: 2</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nd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Given Name Surname</w:t>
        <w:br w:type="textWrapping"/>
        <w:t xml:space="preserve">line 2: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dept. name of organization </w:t>
        <w:br w:type="textWrapping"/>
        <w:t xml:space="preserve">(of Affiliation)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t xml:space="preserve">line 3: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name of organization </w:t>
        <w:br w:type="textWrapping"/>
        <w:t xml:space="preserve">(of Affiliation)</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4: City, Country</w:t>
        <w:br w:type="textWrapping"/>
        <w:t xml:space="preserve">line 5: email address or ORCID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1: 5</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Given Name Surname</w:t>
        <w:br w:type="textWrapping"/>
        <w:t xml:space="preserve">line 2: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dept. name of organization </w:t>
        <w:br w:type="textWrapping"/>
        <w:t xml:space="preserve">(of Affiliation)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t xml:space="preserve">line 3: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name of organization </w:t>
        <w:br w:type="textWrapping"/>
        <w:t xml:space="preserve">(of Affiliation)</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4: City, Country</w:t>
        <w:br w:type="textWrapping"/>
        <w:t xml:space="preserve">line 5: email address  or ORCID</w:t>
      </w: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1: 3</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rd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Given Name Surname</w:t>
        <w:br w:type="textWrapping"/>
        <w:t xml:space="preserve">line 2: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dept. name of organization </w:t>
        <w:br w:type="textWrapping"/>
        <w:t xml:space="preserve">(of Affiliation)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t xml:space="preserve">line 3: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name of organization </w:t>
        <w:br w:type="textWrapping"/>
        <w:t xml:space="preserve">(of Affiliation)</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4: City, Country</w:t>
        <w:br w:type="textWrapping"/>
        <w:t xml:space="preserve">line 5: email address or ORCID</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1: 6</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Given Name Surname</w:t>
        <w:br w:type="textWrapping"/>
        <w:t xml:space="preserve">line 2: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dept. name of organization </w:t>
        <w:br w:type="textWrapping"/>
        <w:t xml:space="preserve">(of Affiliation)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t xml:space="preserve">line 3: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name of organization </w:t>
        <w:br w:type="textWrapping"/>
        <w:t xml:space="preserve">(of Affiliation)</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4: City, Country</w:t>
        <w:br w:type="textWrapping"/>
        <w:t xml:space="preserve">line 5: email address or ORCID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6">
      <w:pPr>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—This electronic document is a “live” template and already defines the components of your paper [title, text, heads, etc.] in its style sheet.  </w:t>
      </w: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*CRITICAL:  Do Not Use Symbols, Special Characters, Footnotes, or Math in Paper Title or 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Keywords—component, formatting, style, styling, insert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key words</w:t>
      </w: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09">
      <w:pPr>
        <w:pStyle w:val="Heading1"/>
        <w:tabs>
          <w:tab w:val="left" w:leader="none" w:pos="216"/>
        </w:tabs>
        <w:rPr/>
      </w:pPr>
      <w:r w:rsidDel="00000000" w:rsidR="00000000" w:rsidRPr="00000000">
        <w:rPr>
          <w:rtl w:val="0"/>
        </w:rPr>
        <w:t xml:space="preserve">I. Introduction (</w:t>
      </w:r>
      <w:r w:rsidDel="00000000" w:rsidR="00000000" w:rsidRPr="00000000">
        <w:rPr>
          <w:i w:val="1"/>
          <w:iCs w:val="1"/>
          <w:rtl w:val="0"/>
        </w:rPr>
        <w:t xml:space="preserve">Heading 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tabs>
          <w:tab w:val="left" w:leader="none" w:pos="288"/>
        </w:tabs>
        <w:spacing w:after="240" w:before="240" w:line="228" w:lineRule="auto"/>
        <w:jc w:val="both"/>
        <w:rPr/>
      </w:pPr>
      <w:r w:rsidDel="00000000" w:rsidR="00000000" w:rsidRPr="00000000">
        <w:rPr>
          <w:rtl w:val="0"/>
        </w:rPr>
        <w:tab/>
        <w:t xml:space="preserve">Customer churn is a critical issue for e-commerce platforms because losing customers can reduce potential revenue, lower customer retention, and affect the company’s long-term business growth. In this project, the dataset used is the </w:t>
      </w:r>
      <w:r w:rsidDel="00000000" w:rsidR="00000000" w:rsidRPr="00000000">
        <w:rPr>
          <w:b w:val="1"/>
          <w:bCs w:val="1"/>
          <w:rtl w:val="0"/>
        </w:rPr>
        <w:t xml:space="preserve">Ecommerce Customer Behavior Dataset</w:t>
      </w:r>
      <w:r w:rsidDel="00000000" w:rsidR="00000000" w:rsidRPr="00000000">
        <w:rPr>
          <w:rtl w:val="0"/>
        </w:rPr>
        <w:t xml:space="preserve"> obtained from Kaggle and provided in CSV format. The dataset contains customer-level records that describe customer demographics, platform engagement, purchase behavior, customer service interaction, and churn status. Based on the initial dataset preview, the raw dataset consists of </w:t>
      </w:r>
      <w:r w:rsidDel="00000000" w:rsidR="00000000" w:rsidRPr="00000000">
        <w:rPr>
          <w:b w:val="1"/>
          <w:bCs w:val="1"/>
          <w:rtl w:val="0"/>
        </w:rPr>
        <w:t xml:space="preserve">50,000 rows and 25 columns</w:t>
      </w:r>
      <w:r w:rsidDel="00000000" w:rsidR="00000000" w:rsidRPr="00000000">
        <w:rPr>
          <w:rtl w:val="0"/>
        </w:rPr>
        <w:t xml:space="preserve">, with </w:t>
      </w:r>
      <w:r w:rsidDel="00000000" w:rsidR="00000000" w:rsidRPr="00000000">
        <w:rPr>
          <w:b w:val="1"/>
          <w:bCs w:val="1"/>
          <w:rtl w:val="0"/>
        </w:rPr>
        <w:t xml:space="preserve">Churned</w:t>
      </w:r>
      <w:r w:rsidDel="00000000" w:rsidR="00000000" w:rsidRPr="00000000">
        <w:rPr>
          <w:rtl w:val="0"/>
        </w:rPr>
        <w:t xml:space="preserve"> used as the main target variable to indicate whether a customer has stopped using the platform or remains active.</w:t>
      </w:r>
    </w:p>
    <w:p w:rsidR="00000000" w:rsidDel="00000000" w:rsidP="00000000" w:rsidRDefault="00000000" w:rsidRPr="00000000" w14:paraId="0000000B">
      <w:pPr>
        <w:tabs>
          <w:tab w:val="left" w:leader="none" w:pos="288"/>
        </w:tabs>
        <w:spacing w:after="240" w:before="240" w:line="228" w:lineRule="auto"/>
        <w:jc w:val="both"/>
        <w:rPr/>
      </w:pPr>
      <w:r w:rsidDel="00000000" w:rsidR="00000000" w:rsidRPr="00000000">
        <w:rPr>
          <w:rtl w:val="0"/>
        </w:rPr>
        <w:tab/>
        <w:t xml:space="preserve">The nature of the data reflects behavioral and transactional activities commonly found in an e-commerce or subscription-based business environment. The dataset includes demographic features such as age, gender, country, city, and membership years, which help describe the background of each customer. It also contains engagement-related features, including login frequency, session duration, pages per session, cart abandonment rate, email open rate, mobile app usage, and social media engagement score. In addition, purchase behavior is represented through variables such as total purchases, average order value, days since last purchase, discount usage rate, returns rate, and payment method diversity. These features make the dataset useful for understanding how customers interact with the platform before they are categorized as active or churned customers.</w:t>
      </w:r>
    </w:p>
    <w:p w:rsidR="00000000" w:rsidDel="00000000" w:rsidP="00000000" w:rsidRDefault="00000000" w:rsidRPr="00000000" w14:paraId="0000000C">
      <w:pPr>
        <w:tabs>
          <w:tab w:val="left" w:leader="none" w:pos="288"/>
        </w:tabs>
        <w:spacing w:after="240" w:before="240" w:line="228" w:lineRule="auto"/>
        <w:jc w:val="both"/>
        <w:rPr/>
      </w:pPr>
      <w:r w:rsidDel="00000000" w:rsidR="00000000" w:rsidRPr="00000000">
        <w:rPr>
          <w:rtl w:val="0"/>
        </w:rPr>
        <w:tab/>
        <w:t xml:space="preserve">This dataset is highly relevant to the intended analytical and business use case because it provides measurable indicators that can be used to identify churn-related patterns. For example, low login frequency may indicate decreasing engagement, a high number of days since the last purchase may suggest customer inactivity, high cart abandonment may show friction in the purchasing process, and frequent customer service calls may reflect dissatisfaction with the platform. By processing this dataset through a data engineering pipeline, the raw customer data can be cleaned, validated, transformed, and prepared for analytical consumption in Power BI. The resulting dashboard can then support business decision-making by helping the company identify at-risk customer segments and design retention strategies such as personalized campaigns, checkout improvement, and customer experience enhancement.</w:t>
      </w:r>
      <w:r w:rsidDel="00000000" w:rsidR="00000000" w:rsidRPr="00000000">
        <w:rPr>
          <w:rtl w:val="0"/>
        </w:rPr>
      </w:r>
    </w:p>
    <w:p w:rsidR="00000000" w:rsidDel="00000000" w:rsidP="00000000" w:rsidRDefault="00000000" w:rsidRPr="00000000" w14:paraId="0000000D">
      <w:pPr>
        <w:pStyle w:val="Heading1"/>
        <w:tabs>
          <w:tab w:val="left" w:leader="none" w:pos="216"/>
        </w:tabs>
        <w:ind w:left="0" w:firstLine="0"/>
        <w:rPr/>
      </w:pPr>
      <w:bookmarkStart w:colFirst="0" w:colLast="0" w:name="_smc52gmj7mfr" w:id="0"/>
      <w:bookmarkEnd w:id="0"/>
      <w:r w:rsidDel="00000000" w:rsidR="00000000" w:rsidRPr="00000000">
        <w:rPr>
          <w:rtl w:val="0"/>
        </w:rPr>
        <w:t xml:space="preserve">II. </w:t>
      </w:r>
      <w:r w:rsidDel="00000000" w:rsidR="00000000" w:rsidRPr="00000000">
        <w:rPr>
          <w:rtl w:val="0"/>
        </w:rPr>
        <w:t xml:space="preserve">Methodology</w:t>
      </w:r>
    </w:p>
    <w:p w:rsidR="00000000" w:rsidDel="00000000" w:rsidP="00000000" w:rsidRDefault="00000000" w:rsidRPr="00000000" w14:paraId="0000000E">
      <w:pPr>
        <w:pStyle w:val="Heading2"/>
        <w:tabs>
          <w:tab w:val="left" w:leader="none" w:pos="216"/>
        </w:tabs>
        <w:jc w:val="left"/>
        <w:rPr/>
      </w:pPr>
      <w:bookmarkStart w:colFirst="0" w:colLast="0" w:name="_fnx8y14lpdx8" w:id="1"/>
      <w:bookmarkEnd w:id="1"/>
      <w:r w:rsidDel="00000000" w:rsidR="00000000" w:rsidRPr="00000000">
        <w:rPr>
          <w:rtl w:val="0"/>
        </w:rPr>
        <w:t xml:space="preserve">1. Data Source and Data Generation</w:t>
      </w:r>
    </w:p>
    <w:p w:rsidR="00000000" w:rsidDel="00000000" w:rsidP="00000000" w:rsidRDefault="00000000" w:rsidRPr="00000000" w14:paraId="0000000F">
      <w:pPr>
        <w:tabs>
          <w:tab w:val="left" w:leader="none" w:pos="216"/>
        </w:tabs>
        <w:jc w:val="both"/>
        <w:rPr/>
      </w:pPr>
      <w:r w:rsidDel="00000000" w:rsidR="00000000" w:rsidRPr="00000000">
        <w:rPr>
          <w:rtl w:val="0"/>
        </w:rPr>
        <w:tab/>
        <w:t xml:space="preserve">The dataset used in this project is the Ecommerce Customer Behavior Dataset obtained from Kaggle in CSV format. The dataset contains customer-level records that describe demographic information, platform engagement, purchasing behavior, customer service interaction, and churn status. The raw dataset initially consisted of 50,000 rows and 25 columns, with Churned used as the main target indicator for customer churn status.</w:t>
      </w:r>
    </w:p>
    <w:p w:rsidR="00000000" w:rsidDel="00000000" w:rsidP="00000000" w:rsidRDefault="00000000" w:rsidRPr="00000000" w14:paraId="00000010">
      <w:pPr>
        <w:tabs>
          <w:tab w:val="left" w:leader="none" w:pos="216"/>
        </w:tabs>
        <w:jc w:val="both"/>
        <w:rPr/>
      </w:pPr>
      <w:r w:rsidDel="00000000" w:rsidR="00000000" w:rsidRPr="00000000">
        <w:rPr>
          <w:rtl w:val="0"/>
        </w:rPr>
        <w:tab/>
        <w:t xml:space="preserve">The dataset is relevant to the business use case because it provides measurable indicators of customer activity and retention risk. Features such as login frequency, session duration, cart abandonment rate, days since last purchase, customer service calls, and purchase value can be used to understand customer behavior before the data is consumed for reporting.</w:t>
      </w:r>
    </w:p>
    <w:p w:rsidR="00000000" w:rsidDel="00000000" w:rsidP="00000000" w:rsidRDefault="00000000" w:rsidRPr="00000000" w14:paraId="00000011">
      <w:pPr>
        <w:pStyle w:val="Heading2"/>
        <w:tabs>
          <w:tab w:val="left" w:leader="none" w:pos="216"/>
        </w:tabs>
        <w:jc w:val="left"/>
        <w:rPr/>
      </w:pPr>
      <w:bookmarkStart w:colFirst="0" w:colLast="0" w:name="_yo3ahu5rn4yv" w:id="2"/>
      <w:bookmarkEnd w:id="2"/>
      <w:r w:rsidDel="00000000" w:rsidR="00000000" w:rsidRPr="00000000">
        <w:rPr>
          <w:rtl w:val="0"/>
        </w:rPr>
        <w:t xml:space="preserve">2. Data Ingestion</w:t>
      </w:r>
    </w:p>
    <w:p w:rsidR="00000000" w:rsidDel="00000000" w:rsidP="00000000" w:rsidRDefault="00000000" w:rsidRPr="00000000" w14:paraId="00000012">
      <w:pPr>
        <w:tabs>
          <w:tab w:val="left" w:leader="none" w:pos="216"/>
        </w:tabs>
        <w:jc w:val="both"/>
        <w:rPr/>
      </w:pPr>
      <w:r w:rsidDel="00000000" w:rsidR="00000000" w:rsidRPr="00000000">
        <w:rPr>
          <w:rtl w:val="0"/>
        </w:rPr>
        <w:tab/>
        <w:t xml:space="preserve">The raw CSV file was ingested using a full-load approach because the dataset is static and does not require incremental updates. The ingestion stage brought the complete raw dataset into the data pipeline so that it could be stored and processed in a structured environment.</w:t>
      </w:r>
    </w:p>
    <w:p w:rsidR="00000000" w:rsidDel="00000000" w:rsidP="00000000" w:rsidRDefault="00000000" w:rsidRPr="00000000" w14:paraId="00000013">
      <w:pPr>
        <w:tabs>
          <w:tab w:val="left" w:leader="none" w:pos="216"/>
        </w:tabs>
        <w:jc w:val="both"/>
        <w:rPr/>
      </w:pPr>
      <w:r w:rsidDel="00000000" w:rsidR="00000000" w:rsidRPr="00000000">
        <w:rPr>
          <w:rtl w:val="0"/>
        </w:rPr>
        <w:tab/>
        <w:t xml:space="preserve">Pentaho Data Integration was used to read the source file and move the data into the storage layer. This step ensured that the original dataset could be preserved before any cleaning or transformation was applied.</w:t>
      </w:r>
    </w:p>
    <w:p w:rsidR="00000000" w:rsidDel="00000000" w:rsidP="00000000" w:rsidRDefault="00000000" w:rsidRPr="00000000" w14:paraId="00000014">
      <w:pPr>
        <w:pStyle w:val="Heading2"/>
        <w:tabs>
          <w:tab w:val="left" w:leader="none" w:pos="216"/>
        </w:tabs>
        <w:jc w:val="left"/>
        <w:rPr/>
      </w:pPr>
      <w:bookmarkStart w:colFirst="0" w:colLast="0" w:name="_xnoqpviup4f6" w:id="3"/>
      <w:bookmarkEnd w:id="3"/>
      <w:r w:rsidDel="00000000" w:rsidR="00000000" w:rsidRPr="00000000">
        <w:rPr>
          <w:rtl w:val="0"/>
        </w:rPr>
        <w:t xml:space="preserve">3. Data Storage</w:t>
      </w:r>
    </w:p>
    <w:p w:rsidR="00000000" w:rsidDel="00000000" w:rsidP="00000000" w:rsidRDefault="00000000" w:rsidRPr="00000000" w14:paraId="00000015">
      <w:pPr>
        <w:tabs>
          <w:tab w:val="left" w:leader="none" w:pos="216"/>
        </w:tabs>
        <w:jc w:val="both"/>
        <w:rPr/>
      </w:pPr>
      <w:r w:rsidDel="00000000" w:rsidR="00000000" w:rsidRPr="00000000">
        <w:rPr>
          <w:rtl w:val="0"/>
        </w:rPr>
        <w:tab/>
        <w:t xml:space="preserve">The data was stored in MySQL to provide structured storage for both raw and processed data. The raw dataset was inserted into a MySQL table as the original storage layer, while the cleaned dataset was stored in a separate processed table after data cleaning was completed.</w:t>
      </w:r>
    </w:p>
    <w:p w:rsidR="00000000" w:rsidDel="00000000" w:rsidP="00000000" w:rsidRDefault="00000000" w:rsidRPr="00000000" w14:paraId="00000016">
      <w:pPr>
        <w:tabs>
          <w:tab w:val="left" w:leader="none" w:pos="216"/>
        </w:tabs>
        <w:jc w:val="both"/>
        <w:rPr/>
      </w:pPr>
      <w:r w:rsidDel="00000000" w:rsidR="00000000" w:rsidRPr="00000000">
        <w:rPr>
          <w:rtl w:val="0"/>
        </w:rPr>
        <w:tab/>
        <w:t xml:space="preserve">Separating raw and processed storage helps maintain traceability in the pipeline. The raw table preserves the original data condition, while the processed table contains data that has been cleaned, validated, and prepared for reporting in Power BI.</w:t>
      </w:r>
    </w:p>
    <w:p w:rsidR="00000000" w:rsidDel="00000000" w:rsidP="00000000" w:rsidRDefault="00000000" w:rsidRPr="00000000" w14:paraId="00000017">
      <w:pPr>
        <w:pStyle w:val="Heading2"/>
        <w:tabs>
          <w:tab w:val="left" w:leader="none" w:pos="216"/>
        </w:tabs>
        <w:jc w:val="left"/>
        <w:rPr/>
      </w:pPr>
      <w:bookmarkStart w:colFirst="0" w:colLast="0" w:name="_3zob8cg5whm2" w:id="4"/>
      <w:bookmarkEnd w:id="4"/>
      <w:r w:rsidDel="00000000" w:rsidR="00000000" w:rsidRPr="00000000">
        <w:rPr>
          <w:rtl w:val="0"/>
        </w:rPr>
        <w:t xml:space="preserve">4. Data Transformation</w:t>
      </w:r>
    </w:p>
    <w:p w:rsidR="00000000" w:rsidDel="00000000" w:rsidP="00000000" w:rsidRDefault="00000000" w:rsidRPr="00000000" w14:paraId="00000018">
      <w:pPr>
        <w:tabs>
          <w:tab w:val="left" w:leader="none" w:pos="216"/>
        </w:tabs>
        <w:jc w:val="both"/>
        <w:rPr/>
      </w:pPr>
      <w:r w:rsidDel="00000000" w:rsidR="00000000" w:rsidRPr="00000000">
        <w:rPr>
          <w:rtl w:val="0"/>
        </w:rPr>
        <w:tab/>
        <w:t xml:space="preserve">Data transformation was performed in Google Colab only up to the data cleaning stage. The raw CSV was loaded using Python and pandas, then each column was standardized by removing unnecessary spaces, replacing blank values with missing values, and converting numeric columns into the correct data types.</w:t>
      </w:r>
    </w:p>
    <w:p w:rsidR="00000000" w:rsidDel="00000000" w:rsidP="00000000" w:rsidRDefault="00000000" w:rsidRPr="00000000" w14:paraId="00000019">
      <w:pPr>
        <w:tabs>
          <w:tab w:val="left" w:leader="none" w:pos="216"/>
        </w:tabs>
        <w:jc w:val="both"/>
        <w:rPr/>
      </w:pPr>
      <w:r w:rsidDel="00000000" w:rsidR="00000000" w:rsidRPr="00000000">
        <w:rPr>
          <w:rtl w:val="0"/>
        </w:rPr>
        <w:tab/>
        <w:t xml:space="preserve">The cleaning process included removing duplicate records, dropping rows with missing Age values, checking invalid values using logical limits, handling remaining missing values, applying outlier clipping using the interquartile range method, and formatting numeric variables. After cleaning, the dataset contained 47,505 rows and 26 variables with no remaining missing values.</w:t>
      </w:r>
    </w:p>
    <w:p w:rsidR="00000000" w:rsidDel="00000000" w:rsidP="00000000" w:rsidRDefault="00000000" w:rsidRPr="00000000" w14:paraId="0000001A">
      <w:pPr>
        <w:pStyle w:val="Heading2"/>
        <w:tabs>
          <w:tab w:val="left" w:leader="none" w:pos="216"/>
        </w:tabs>
        <w:jc w:val="left"/>
        <w:rPr/>
      </w:pPr>
      <w:bookmarkStart w:colFirst="0" w:colLast="0" w:name="_i8xhgxglxwyo" w:id="5"/>
      <w:bookmarkEnd w:id="5"/>
      <w:r w:rsidDel="00000000" w:rsidR="00000000" w:rsidRPr="00000000">
        <w:rPr>
          <w:rtl w:val="0"/>
        </w:rPr>
        <w:t xml:space="preserve">5. Data Quality and Validation</w:t>
      </w:r>
    </w:p>
    <w:p w:rsidR="00000000" w:rsidDel="00000000" w:rsidP="00000000" w:rsidRDefault="00000000" w:rsidRPr="00000000" w14:paraId="0000001B">
      <w:pPr>
        <w:tabs>
          <w:tab w:val="left" w:leader="none" w:pos="216"/>
        </w:tabs>
        <w:jc w:val="both"/>
        <w:rPr/>
      </w:pPr>
      <w:r w:rsidDel="00000000" w:rsidR="00000000" w:rsidRPr="00000000">
        <w:rPr>
          <w:rtl w:val="0"/>
        </w:rPr>
        <w:tab/>
        <w:t xml:space="preserve">Data quality checks were applied to ensure that the processed data was reliable for reporting. Missing values were identified and handled using median imputation for numerical columns and mode imputation for categorical columns. Invalid values were checked using logical validation rules, such as valid ranges for age, percentage-based variables, mobile app usage, and churn labels.</w:t>
      </w:r>
    </w:p>
    <w:p w:rsidR="00000000" w:rsidDel="00000000" w:rsidP="00000000" w:rsidRDefault="00000000" w:rsidRPr="00000000" w14:paraId="0000001C">
      <w:pPr>
        <w:tabs>
          <w:tab w:val="left" w:leader="none" w:pos="216"/>
        </w:tabs>
        <w:jc w:val="both"/>
        <w:rPr/>
      </w:pPr>
      <w:r w:rsidDel="00000000" w:rsidR="00000000" w:rsidRPr="00000000">
        <w:rPr>
          <w:rtl w:val="0"/>
        </w:rPr>
        <w:tab/>
        <w:t xml:space="preserve">The validation process also included duplicate checking, data type correction, and final missing-value verification. These checks helped ensure that the final dataset was consistent, complete, and ready to be stored as processed data in MySQL.</w:t>
      </w:r>
    </w:p>
    <w:p w:rsidR="00000000" w:rsidDel="00000000" w:rsidP="00000000" w:rsidRDefault="00000000" w:rsidRPr="00000000" w14:paraId="0000001D">
      <w:pPr>
        <w:pStyle w:val="Heading2"/>
        <w:tabs>
          <w:tab w:val="left" w:leader="none" w:pos="216"/>
        </w:tabs>
        <w:jc w:val="left"/>
        <w:rPr/>
      </w:pPr>
      <w:bookmarkStart w:colFirst="0" w:colLast="0" w:name="_h5o0aaa4eig9" w:id="6"/>
      <w:bookmarkEnd w:id="6"/>
      <w:r w:rsidDel="00000000" w:rsidR="00000000" w:rsidRPr="00000000">
        <w:rPr>
          <w:rtl w:val="0"/>
        </w:rPr>
        <w:t xml:space="preserve">6. Data Consumption</w:t>
      </w:r>
    </w:p>
    <w:p w:rsidR="00000000" w:rsidDel="00000000" w:rsidP="00000000" w:rsidRDefault="00000000" w:rsidRPr="00000000" w14:paraId="0000001E">
      <w:pPr>
        <w:tabs>
          <w:tab w:val="left" w:leader="none" w:pos="216"/>
        </w:tabs>
        <w:jc w:val="both"/>
        <w:rPr/>
      </w:pPr>
      <w:r w:rsidDel="00000000" w:rsidR="00000000" w:rsidRPr="00000000">
        <w:rPr>
          <w:rtl w:val="0"/>
        </w:rPr>
        <w:tab/>
        <w:t xml:space="preserve">The cleaned and processed dataset was consumed through Power BI for analytics and reporting. The dashboard was built from the processed data to present churn-related insights, including customer engagement patterns, inactivity, cart abandonment behavior, and customer service interaction.</w:t>
      </w:r>
    </w:p>
    <w:p w:rsidR="00000000" w:rsidDel="00000000" w:rsidP="00000000" w:rsidRDefault="00000000" w:rsidRPr="00000000" w14:paraId="0000001F">
      <w:pPr>
        <w:tabs>
          <w:tab w:val="left" w:leader="none" w:pos="216"/>
        </w:tabs>
        <w:jc w:val="both"/>
        <w:rPr/>
      </w:pPr>
      <w:r w:rsidDel="00000000" w:rsidR="00000000" w:rsidRPr="00000000">
        <w:rPr>
          <w:rtl w:val="0"/>
        </w:rPr>
        <w:tab/>
        <w:t xml:space="preserve">This consumption layer allows business users to observe churn patterns more easily and use the dashboard output to support retention-related decision-making.</w:t>
      </w:r>
    </w:p>
    <w:p w:rsidR="00000000" w:rsidDel="00000000" w:rsidP="00000000" w:rsidRDefault="00000000" w:rsidRPr="00000000" w14:paraId="00000020">
      <w:pPr>
        <w:pStyle w:val="Heading2"/>
        <w:tabs>
          <w:tab w:val="left" w:leader="none" w:pos="216"/>
        </w:tabs>
        <w:jc w:val="left"/>
        <w:rPr/>
      </w:pPr>
      <w:bookmarkStart w:colFirst="0" w:colLast="0" w:name="_dhdfc99idreh" w:id="7"/>
      <w:bookmarkEnd w:id="7"/>
      <w:r w:rsidDel="00000000" w:rsidR="00000000" w:rsidRPr="00000000">
        <w:rPr>
          <w:rtl w:val="0"/>
        </w:rPr>
        <w:t xml:space="preserve">7. Evaluation and Reflection</w:t>
      </w:r>
    </w:p>
    <w:p w:rsidR="00000000" w:rsidDel="00000000" w:rsidP="00000000" w:rsidRDefault="00000000" w:rsidRPr="00000000" w14:paraId="00000021">
      <w:pPr>
        <w:tabs>
          <w:tab w:val="left" w:leader="none" w:pos="216"/>
        </w:tabs>
        <w:jc w:val="both"/>
        <w:rPr/>
      </w:pPr>
      <w:r w:rsidDel="00000000" w:rsidR="00000000" w:rsidRPr="00000000">
        <w:rPr>
          <w:rtl w:val="0"/>
        </w:rPr>
        <w:tab/>
        <w:t xml:space="preserve">The selected tools were chosen based on their role in the data engineering lifecycle. Kaggle provided the raw dataset, Pentaho Data Integration supported data ingestion, MySQL was used for structured storage, Google Colab was used for data cleaning, and Power BI was used for dashboard-based data consumption.</w:t>
      </w:r>
    </w:p>
    <w:p w:rsidR="00000000" w:rsidDel="00000000" w:rsidP="00000000" w:rsidRDefault="00000000" w:rsidRPr="00000000" w14:paraId="00000022">
      <w:pPr>
        <w:tabs>
          <w:tab w:val="left" w:leader="none" w:pos="216"/>
        </w:tabs>
        <w:jc w:val="both"/>
        <w:rPr/>
      </w:pPr>
      <w:r w:rsidDel="00000000" w:rsidR="00000000" w:rsidRPr="00000000">
        <w:rPr>
          <w:rtl w:val="0"/>
        </w:rPr>
        <w:tab/>
        <w:t xml:space="preserve">The main advantage of this design is that each stage of the pipeline has a clear purpose, from raw data collection to storage, cleaning, validation, and reporting. A limitation of the design is that the dataset is static, so the pipeline is more suitable for batch processing than real-time data processing.</w:t>
      </w:r>
    </w:p>
    <w:p w:rsidR="00000000" w:rsidDel="00000000" w:rsidP="00000000" w:rsidRDefault="00000000" w:rsidRPr="00000000" w14:paraId="00000023">
      <w:pPr>
        <w:pStyle w:val="Heading1"/>
        <w:tabs>
          <w:tab w:val="left" w:leader="none" w:pos="216"/>
        </w:tabs>
        <w:rPr/>
      </w:pPr>
      <w:r w:rsidDel="00000000" w:rsidR="00000000" w:rsidRPr="00000000">
        <w:rPr>
          <w:smallCaps w:val="0"/>
          <w:rtl w:val="0"/>
        </w:rPr>
        <w:t xml:space="preserve">III. </w:t>
      </w:r>
      <w:r w:rsidDel="00000000" w:rsidR="00000000" w:rsidRPr="00000000">
        <w:rPr>
          <w:smallCaps w:val="0"/>
          <w:rtl w:val="0"/>
        </w:rPr>
        <w:t xml:space="preserve">Insight</w:t>
      </w:r>
      <w:r w:rsidDel="00000000" w:rsidR="00000000" w:rsidRPr="00000000">
        <w:rPr>
          <w:smallCaps w:val="0"/>
          <w:rtl w:val="0"/>
        </w:rPr>
        <w:t xml:space="preserve"> and Business Recomendations</w:t>
      </w:r>
      <w:r w:rsidDel="00000000" w:rsidR="00000000" w:rsidRPr="00000000">
        <w:rPr>
          <w:rtl w:val="0"/>
        </w:rPr>
      </w:r>
    </w:p>
    <w:p w:rsidR="00000000" w:rsidDel="00000000" w:rsidP="00000000" w:rsidRDefault="00000000" w:rsidRPr="00000000" w14:paraId="00000024">
      <w:pPr>
        <w:tabs>
          <w:tab w:val="left" w:leader="none" w:pos="288"/>
        </w:tabs>
        <w:spacing w:after="240" w:before="240" w:line="228" w:lineRule="auto"/>
        <w:jc w:val="both"/>
        <w:rPr/>
      </w:pPr>
      <w:r w:rsidDel="00000000" w:rsidR="00000000" w:rsidRPr="00000000">
        <w:rPr>
          <w:rtl w:val="0"/>
        </w:rPr>
        <w:tab/>
        <w:t xml:space="preserve">The final dataset consists of 47,505 customers with 26 different variables. The target variable represents the customers who have churned on the e-commerce website. The % of the customers who have churned is 29.09%, which represents almost three out of every ten customers who have churned on the platform. This demonstrates a significant problem for the company as they lose customers and their revenue with every churn. The following dashboard analysis demonstrates the relationship between customer churn and customer engagement on the platform. Customers who login to the platform less frequently have a higher tendency to churn on the website. Additionally, customers who have not purchased from the e-commerce website for longer periods of time have a higher tendency to churn on the website.</w:t>
      </w:r>
    </w:p>
    <w:p w:rsidR="00000000" w:rsidDel="00000000" w:rsidP="00000000" w:rsidRDefault="00000000" w:rsidRPr="00000000" w14:paraId="00000025">
      <w:pPr>
        <w:tabs>
          <w:tab w:val="left" w:leader="none" w:pos="288"/>
        </w:tabs>
        <w:spacing w:after="240" w:before="240" w:line="228" w:lineRule="auto"/>
        <w:jc w:val="both"/>
        <w:rPr/>
      </w:pPr>
      <w:r w:rsidDel="00000000" w:rsidR="00000000" w:rsidRPr="00000000">
        <w:rPr>
          <w:rtl w:val="0"/>
        </w:rPr>
        <w:tab/>
        <w:t xml:space="preserve">Another important finding is related to cart abandonment and customer service interaction. Customers with high cart abandonment rates tend to have a higher tendency towards churn. The reason for cart abandonment by customers can be attributed to issues like unclear pricing, high costs for shipping the products, complicated checkout processes, and too many payment options. Furthermore, customers that place many service tickets with the customer service department of the company are also more likely to churn for the company. Based on these findings, the company can implement an early warning system that will allow the company to recognize customers with low frequencies of logging into the website, inactivity in making purchases, high rates of cart abandonment, and placing tickets with customer service. These customers can be classified as at-risk customers and targeted with retention campaigns. For instance, the customers can be sent emails or sent push notifications containing special vouchers or rewards for them to utilize when they visit the company’s website.</w:t>
      </w:r>
    </w:p>
    <w:p w:rsidR="00000000" w:rsidDel="00000000" w:rsidP="00000000" w:rsidRDefault="00000000" w:rsidRPr="00000000" w14:paraId="00000026">
      <w:pPr>
        <w:tabs>
          <w:tab w:val="left" w:leader="none" w:pos="288"/>
        </w:tabs>
        <w:spacing w:after="240" w:before="240" w:line="228" w:lineRule="auto"/>
        <w:jc w:val="both"/>
        <w:rPr/>
      </w:pPr>
      <w:r w:rsidDel="00000000" w:rsidR="00000000" w:rsidRPr="00000000">
        <w:rPr>
          <w:rtl w:val="0"/>
        </w:rPr>
        <w:tab/>
        <w:t xml:space="preserve">In addition, it is also possible to improve the checkout process for the company to reduce cart abandonment. For example, the company could simplify the checkout process, provide a more accurate total for the products in the cart, offer more payment options, send cart reminder notifications to customers, and offer incentives for cart abandonment. Finally, the quality of customer service for the company could be improved by analyzing customer complaints, reducing the response time for customers to ask questions, fixing common platform issues, and offering customer compensation for common problems.</w:t>
      </w:r>
    </w:p>
    <w:p w:rsidR="00000000" w:rsidDel="00000000" w:rsidP="00000000" w:rsidRDefault="00000000" w:rsidRPr="00000000" w14:paraId="00000027">
      <w:pPr>
        <w:tabs>
          <w:tab w:val="left" w:leader="none" w:pos="288"/>
        </w:tabs>
        <w:spacing w:after="240" w:before="240" w:line="228" w:lineRule="auto"/>
        <w:jc w:val="both"/>
        <w:rPr/>
      </w:pPr>
      <w:r w:rsidDel="00000000" w:rsidR="00000000" w:rsidRPr="00000000">
        <w:rPr>
          <w:rtl w:val="0"/>
        </w:rPr>
        <w:tab/>
        <w:t xml:space="preserve">The results show that there are various factors that contribute to customer churn, such as low customer engagement, inactivity in making purchases, issues during the purchasing process, and the general customer service experience. To combat these issues, it is recommended to take actions connected to detecting and reducing churn, increasing engagement with current customers, improving the purchasing process, increasing customer reengagement with the company, and increasing the quality of the customer service provided. Each of these actions will lead to an increase in customer engagement, satisfaction, and repeat purchases from those customers, while reducing the rate at which customers churn for the company.</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29">
      <w:pPr>
        <w:pStyle w:val="Heading2"/>
        <w:numPr>
          <w:ilvl w:val="1"/>
          <w:numId w:val="3"/>
        </w:numPr>
        <w:ind w:left="288" w:hanging="288"/>
        <w:rPr/>
      </w:pPr>
      <w:r w:rsidDel="00000000" w:rsidR="00000000" w:rsidRPr="00000000">
        <w:rPr>
          <w:rtl w:val="0"/>
        </w:rPr>
        <w:t xml:space="preserve">Authors and Affiliations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 template is designed for, but not limited to, six authors.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minimum of one author is required for all conference articles. Author names should be listed starting from left to right and then moving down to the next line. This is the author sequence that will be used in future citations and by indexing services. Names should not be listed in columns nor group by affiliation. Please keep your affiliations as succinct as possible (for example, do not differentiate among departments of the same organization).</w:t>
      </w:r>
    </w:p>
    <w:p w:rsidR="00000000" w:rsidDel="00000000" w:rsidP="00000000" w:rsidRDefault="00000000" w:rsidRPr="00000000" w14:paraId="0000002B">
      <w:pPr>
        <w:pStyle w:val="Heading3"/>
        <w:numPr>
          <w:ilvl w:val="2"/>
          <w:numId w:val="3"/>
        </w:numPr>
        <w:ind w:left="0" w:firstLine="180"/>
        <w:rPr/>
      </w:pPr>
      <w:r w:rsidDel="00000000" w:rsidR="00000000" w:rsidRPr="00000000">
        <w:rPr>
          <w:rtl w:val="0"/>
        </w:rPr>
        <w:t xml:space="preserve">For papers with more than six authors: </w:t>
      </w:r>
      <w:r w:rsidDel="00000000" w:rsidR="00000000" w:rsidRPr="00000000">
        <w:rPr>
          <w:i w:val="0"/>
          <w:iCs w:val="0"/>
          <w:rtl w:val="0"/>
        </w:rPr>
        <w:t xml:space="preserve">Add author names horizontally, moving to a third row if needed for more than 8 authors.</w:t>
      </w:r>
      <w:r w:rsidDel="00000000" w:rsidR="00000000" w:rsidRPr="00000000">
        <w:rPr>
          <w:rtl w:val="0"/>
        </w:rPr>
      </w:r>
    </w:p>
    <w:p w:rsidR="00000000" w:rsidDel="00000000" w:rsidP="00000000" w:rsidRDefault="00000000" w:rsidRPr="00000000" w14:paraId="0000002C">
      <w:pPr>
        <w:pStyle w:val="Heading3"/>
        <w:numPr>
          <w:ilvl w:val="2"/>
          <w:numId w:val="3"/>
        </w:numPr>
        <w:ind w:left="0" w:firstLine="180"/>
        <w:rPr/>
      </w:pPr>
      <w:r w:rsidDel="00000000" w:rsidR="00000000" w:rsidRPr="00000000">
        <w:rPr>
          <w:rtl w:val="0"/>
        </w:rPr>
        <w:t xml:space="preserve">For papers with less than six authors: </w:t>
      </w:r>
      <w:r w:rsidDel="00000000" w:rsidR="00000000" w:rsidRPr="00000000">
        <w:rPr>
          <w:i w:val="0"/>
          <w:iCs w:val="0"/>
          <w:rtl w:val="0"/>
        </w:rPr>
        <w:t xml:space="preserve">To change the default, adjust the template as follows.</w:t>
      </w:r>
      <w:r w:rsidDel="00000000" w:rsidR="00000000" w:rsidRPr="00000000">
        <w:rPr>
          <w:rtl w:val="0"/>
        </w:rPr>
      </w:r>
    </w:p>
    <w:p w:rsidR="00000000" w:rsidDel="00000000" w:rsidP="00000000" w:rsidRDefault="00000000" w:rsidRPr="00000000" w14:paraId="0000002D">
      <w:pPr>
        <w:pStyle w:val="Heading4"/>
        <w:numPr>
          <w:ilvl w:val="3"/>
          <w:numId w:val="3"/>
        </w:numPr>
        <w:tabs>
          <w:tab w:val="left" w:leader="none" w:pos="720"/>
        </w:tabs>
        <w:ind w:left="0" w:firstLine="360"/>
        <w:rPr/>
      </w:pPr>
      <w:r w:rsidDel="00000000" w:rsidR="00000000" w:rsidRPr="00000000">
        <w:rPr>
          <w:rtl w:val="0"/>
        </w:rPr>
        <w:t xml:space="preserve">Selection: </w:t>
      </w:r>
      <w:r w:rsidDel="00000000" w:rsidR="00000000" w:rsidRPr="00000000">
        <w:rPr>
          <w:i w:val="0"/>
          <w:iCs w:val="0"/>
          <w:rtl w:val="0"/>
        </w:rPr>
        <w:t xml:space="preserve">Highlight all author and affiliation lines.</w:t>
      </w:r>
      <w:r w:rsidDel="00000000" w:rsidR="00000000" w:rsidRPr="00000000">
        <w:rPr>
          <w:rtl w:val="0"/>
        </w:rPr>
      </w:r>
    </w:p>
    <w:p w:rsidR="00000000" w:rsidDel="00000000" w:rsidP="00000000" w:rsidRDefault="00000000" w:rsidRPr="00000000" w14:paraId="0000002E">
      <w:pPr>
        <w:pStyle w:val="Heading4"/>
        <w:numPr>
          <w:ilvl w:val="3"/>
          <w:numId w:val="3"/>
        </w:numPr>
        <w:tabs>
          <w:tab w:val="left" w:leader="none" w:pos="720"/>
        </w:tabs>
        <w:ind w:left="0" w:firstLine="360"/>
        <w:rPr/>
      </w:pPr>
      <w:r w:rsidDel="00000000" w:rsidR="00000000" w:rsidRPr="00000000">
        <w:rPr>
          <w:rtl w:val="0"/>
        </w:rPr>
        <w:t xml:space="preserve">Change number of columns: </w:t>
      </w:r>
      <w:r w:rsidDel="00000000" w:rsidR="00000000" w:rsidRPr="00000000">
        <w:rPr>
          <w:i w:val="0"/>
          <w:iCs w:val="0"/>
          <w:rtl w:val="0"/>
        </w:rPr>
        <w:t xml:space="preserve">Select the Columns icon from the MS Word Standard toolbar and then select the correct number of columns from the selection palette.</w:t>
      </w:r>
      <w:r w:rsidDel="00000000" w:rsidR="00000000" w:rsidRPr="00000000">
        <w:rPr>
          <w:rtl w:val="0"/>
        </w:rPr>
      </w:r>
    </w:p>
    <w:p w:rsidR="00000000" w:rsidDel="00000000" w:rsidP="00000000" w:rsidRDefault="00000000" w:rsidRPr="00000000" w14:paraId="0000002F">
      <w:pPr>
        <w:pStyle w:val="Heading4"/>
        <w:numPr>
          <w:ilvl w:val="3"/>
          <w:numId w:val="3"/>
        </w:numPr>
        <w:tabs>
          <w:tab w:val="left" w:leader="none" w:pos="720"/>
        </w:tabs>
        <w:ind w:left="0" w:firstLine="360"/>
        <w:rPr/>
      </w:pPr>
      <w:r w:rsidDel="00000000" w:rsidR="00000000" w:rsidRPr="00000000">
        <w:rPr>
          <w:rtl w:val="0"/>
        </w:rPr>
        <w:t xml:space="preserve">Deletion: </w:t>
      </w:r>
      <w:r w:rsidDel="00000000" w:rsidR="00000000" w:rsidRPr="00000000">
        <w:rPr>
          <w:i w:val="0"/>
          <w:iCs w:val="0"/>
          <w:rtl w:val="0"/>
        </w:rPr>
        <w:t xml:space="preserve">Delete the author and affiliation lines for the extra authors.</w:t>
      </w:r>
    </w:p>
    <w:p w:rsidR="00000000" w:rsidDel="00000000" w:rsidP="00000000" w:rsidRDefault="00000000" w:rsidRPr="00000000" w14:paraId="00000030">
      <w:pPr>
        <w:jc w:val="left"/>
        <w:rPr>
          <w:i w:val="1"/>
          <w:iCs w:val="1"/>
        </w:rPr>
      </w:pPr>
      <w:r w:rsidDel="00000000" w:rsidR="00000000" w:rsidRPr="00000000">
        <w:rPr>
          <w:rtl w:val="0"/>
        </w:rPr>
      </w:r>
    </w:p>
    <w:p w:rsidR="00000000" w:rsidDel="00000000" w:rsidP="00000000" w:rsidRDefault="00000000" w:rsidRPr="00000000" w14:paraId="00000031">
      <w:pPr>
        <w:pStyle w:val="Heading2"/>
        <w:numPr>
          <w:ilvl w:val="1"/>
          <w:numId w:val="3"/>
        </w:numPr>
        <w:ind w:left="288" w:hanging="288"/>
        <w:rPr/>
      </w:pPr>
      <w:r w:rsidDel="00000000" w:rsidR="00000000" w:rsidRPr="00000000">
        <w:rPr>
          <w:rtl w:val="0"/>
        </w:rPr>
        <w:t xml:space="preserve">Identify the Headings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Headings, or heads, are organizational devices that guide the reader through your paper. There are two types: component heads and text heads.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rsidR="00000000" w:rsidDel="00000000" w:rsidP="00000000" w:rsidRDefault="00000000" w:rsidRPr="00000000" w14:paraId="00000035">
      <w:pPr>
        <w:pStyle w:val="Heading2"/>
        <w:numPr>
          <w:ilvl w:val="1"/>
          <w:numId w:val="3"/>
        </w:numPr>
        <w:ind w:left="288" w:hanging="288"/>
        <w:rPr/>
      </w:pPr>
      <w:r w:rsidDel="00000000" w:rsidR="00000000" w:rsidRPr="00000000">
        <w:rPr>
          <w:rtl w:val="0"/>
        </w:rPr>
        <w:t xml:space="preserve">Figures and Tables</w:t>
      </w:r>
    </w:p>
    <w:p w:rsidR="00000000" w:rsidDel="00000000" w:rsidP="00000000" w:rsidRDefault="00000000" w:rsidRPr="00000000" w14:paraId="00000036">
      <w:pPr>
        <w:pStyle w:val="Heading4"/>
        <w:numPr>
          <w:ilvl w:val="3"/>
          <w:numId w:val="3"/>
        </w:numPr>
        <w:tabs>
          <w:tab w:val="left" w:leader="none" w:pos="720"/>
        </w:tabs>
        <w:ind w:left="0" w:firstLine="360"/>
        <w:rPr/>
      </w:pPr>
      <w:r w:rsidDel="00000000" w:rsidR="00000000" w:rsidRPr="00000000">
        <w:rPr>
          <w:rtl w:val="0"/>
        </w:rPr>
        <w:t xml:space="preserve"> Positioning Figures and Tables: </w:t>
      </w:r>
      <w:r w:rsidDel="00000000" w:rsidR="00000000" w:rsidRPr="00000000">
        <w:rPr>
          <w:i w:val="0"/>
          <w:iCs w:val="0"/>
          <w:rtl w:val="0"/>
        </w:rPr>
        <w:t xml:space="preserve">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16" w:lineRule="auto"/>
        <w:ind w:left="0" w:right="0" w:firstLine="0"/>
        <w:jc w:val="center"/>
        <w:rPr/>
      </w:pP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Table Type Styles</w:t>
      </w:r>
    </w:p>
    <w:tbl>
      <w:tblPr>
        <w:tblStyle w:val="Table1"/>
        <w:tblW w:w="48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340"/>
        <w:gridCol w:w="900"/>
        <w:gridCol w:w="900"/>
        <w:tblGridChange w:id="0">
          <w:tblGrid>
            <w:gridCol w:w="720"/>
            <w:gridCol w:w="2340"/>
            <w:gridCol w:w="900"/>
            <w:gridCol w:w="900"/>
          </w:tblGrid>
        </w:tblGridChange>
      </w:tblGrid>
      <w:tr>
        <w:trPr>
          <w:cantSplit w:val="1"/>
          <w:trHeight w:val="240" w:hRule="atLeast"/>
          <w:tblHeader w:val="1"/>
        </w:trPr>
        <w:tc>
          <w:tcPr>
            <w:vMerge w:val="restart"/>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Table Head</w:t>
            </w:r>
          </w:p>
        </w:tc>
        <w:tc>
          <w:tcPr>
            <w:gridSpan w:val="3"/>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Table Column Head</w:t>
            </w:r>
          </w:p>
        </w:tc>
      </w:tr>
      <w:tr>
        <w:trPr>
          <w:cantSplit w:val="1"/>
          <w:trHeight w:val="240" w:hRule="atLeast"/>
          <w:tblHeader w:val="1"/>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5"/>
                <w:szCs w:val="15"/>
                <w:u w:val="none"/>
                <w:shd w:fill="auto" w:val="clear"/>
                <w:vertAlign w:val="baseline"/>
                <w:rtl w:val="0"/>
              </w:rPr>
              <w:t xml:space="preserve">Table column subhead</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5"/>
                <w:szCs w:val="15"/>
                <w:u w:val="none"/>
                <w:shd w:fill="auto" w:val="clear"/>
                <w:vertAlign w:val="baseline"/>
                <w:rtl w:val="0"/>
              </w:rPr>
              <w:t xml:space="preserve">Subhead</w:t>
            </w:r>
          </w:p>
        </w:tc>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5"/>
                <w:szCs w:val="15"/>
                <w:u w:val="none"/>
                <w:shd w:fill="auto" w:val="clear"/>
                <w:vertAlign w:val="baseline"/>
                <w:rtl w:val="0"/>
              </w:rPr>
              <w:t xml:space="preserve">Subhead</w:t>
            </w:r>
          </w:p>
        </w:tc>
      </w:tr>
      <w:tr>
        <w:trPr>
          <w:cantSplit w:val="0"/>
          <w:trHeight w:val="320" w:hRule="atLeast"/>
          <w:tblHeader w:val="0"/>
        </w:trPr>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copy</w:t>
            </w:r>
            <w:r w:rsidDel="00000000" w:rsidR="00000000" w:rsidRPr="00000000">
              <w:rPr>
                <w:rtl w:val="0"/>
              </w:rPr>
            </w:r>
          </w:p>
        </w:tc>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More table copy</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superscript"/>
                <w:rtl w:val="0"/>
              </w:rPr>
              <w:t xml:space="preserve">a</w:t>
            </w:r>
            <w:r w:rsidDel="00000000" w:rsidR="00000000" w:rsidRPr="00000000">
              <w:rPr>
                <w:rtl w:val="0"/>
              </w:rPr>
            </w:r>
          </w:p>
        </w:tc>
        <w:tc>
          <w:tcPr>
            <w:vAlign w:val="center"/>
          </w:tcPr>
          <w:p w:rsidR="00000000" w:rsidDel="00000000" w:rsidP="00000000" w:rsidRDefault="00000000" w:rsidRPr="00000000" w14:paraId="00000042">
            <w:pPr>
              <w:rPr>
                <w:sz w:val="16"/>
                <w:szCs w:val="16"/>
              </w:rPr>
            </w:pPr>
            <w:r w:rsidDel="00000000" w:rsidR="00000000" w:rsidRPr="00000000">
              <w:rPr>
                <w:rtl w:val="0"/>
              </w:rPr>
            </w:r>
          </w:p>
        </w:tc>
        <w:tc>
          <w:tcPr>
            <w:vAlign w:val="center"/>
          </w:tcPr>
          <w:p w:rsidR="00000000" w:rsidDel="00000000" w:rsidP="00000000" w:rsidRDefault="00000000" w:rsidRPr="00000000" w14:paraId="00000043">
            <w:pPr>
              <w:rPr>
                <w:sz w:val="16"/>
                <w:szCs w:val="16"/>
              </w:rPr>
            </w:pP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418" w:right="0" w:hanging="360"/>
        <w:jc w:val="right"/>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Sample of a Table footnote. (</w:t>
      </w: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Table footnote</w: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3"/>
        </w:tabs>
        <w:spacing w:after="200" w:before="8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Example of a figure caption.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figure caption</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 with a ratio of quantities and units. For example, write “Temperature (K)”, not “Temperature/K”.</w:t>
      </w:r>
    </w:p>
    <w:p w:rsidR="00000000" w:rsidDel="00000000" w:rsidP="00000000" w:rsidRDefault="00000000" w:rsidRPr="00000000" w14:paraId="00000047">
      <w:pPr>
        <w:pStyle w:val="Heading5"/>
        <w:tabs>
          <w:tab w:val="left" w:leader="none" w:pos="360"/>
        </w:tabs>
        <w:rPr/>
      </w:pPr>
      <w:r w:rsidDel="00000000" w:rsidR="00000000" w:rsidRPr="00000000">
        <w:rPr>
          <w:rtl w:val="0"/>
        </w:rPr>
        <w:t xml:space="preserve">Acknowledgment </w:t>
      </w:r>
      <w:r w:rsidDel="00000000" w:rsidR="00000000" w:rsidRPr="00000000">
        <w:rPr>
          <w:i w:val="1"/>
          <w:iCs w:val="1"/>
          <w:rtl w:val="0"/>
        </w:rPr>
        <w:t xml:space="preserve">(</w:t>
      </w:r>
      <w:r w:rsidDel="00000000" w:rsidR="00000000" w:rsidRPr="00000000">
        <w:rPr>
          <w:i w:val="1"/>
          <w:iCs w:val="1"/>
          <w:smallCaps w:val="0"/>
          <w:rtl w:val="0"/>
        </w:rPr>
        <w:t xml:space="preserve">Heading 5</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preferred spelling of the word “acknowledgment” in America is without an “e” after the “g”. Avoid the stilted expression “one of us (R. B. G.) thanks ...”.  Instead, try “R. B. G. thanks...”. Put sponsor acknowledgments in the unnumbered footnote on the first page.</w:t>
      </w:r>
    </w:p>
    <w:p w:rsidR="00000000" w:rsidDel="00000000" w:rsidP="00000000" w:rsidRDefault="00000000" w:rsidRPr="00000000" w14:paraId="00000049">
      <w:pPr>
        <w:pStyle w:val="Heading5"/>
        <w:tabs>
          <w:tab w:val="left" w:leader="none" w:pos="360"/>
        </w:tabs>
        <w:rPr/>
      </w:pPr>
      <w:r w:rsidDel="00000000" w:rsidR="00000000" w:rsidRPr="00000000">
        <w:rPr>
          <w:rtl w:val="0"/>
        </w:rPr>
        <w:t xml:space="preserve">References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template will number citations consecutively within brackets [1]. The sentence punctuation follows the bracket [2]. Refer simply to the reference number, as in [3]—do not use “Ref. [3]” or “reference [3]” except at the beginning of a sentence: “Reference [3] was the first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Number footnotes separately in superscripts. Place the actual footnote at the bottom of the column in which it was cited. Do not put footnotes in the abstract or reference list. Use letters for table footnotes.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Unless there are six authors or more give all authors’ 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papers published in translation journals, please give the English citation first, followed by the original foreign-language citation [6].</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G. Eason, B. Noble, and I. N. Sneddon, “On certain integrals of Lipschitz-Hankel type involving products of Bessel functions,” Phil. Trans. Roy. Soc. London, vol. A247, pp. 529–551, April 1955.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J. Clerk Maxwell, A Treatise on Electricity and Magnetism, 3rd ed., vol. 2. Oxford: Clarendon, 1892, pp.68–73.</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 S. Jacobs and C. P. Bean, “Fine particles, thin films and exchange anisotropy,” in Magnetism, vol. III, G. T. Rado and H. Suhl, Eds. New York: Academic, 1963, pp. 271–350.</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K. Elissa, “Title of paper if known,” unpublished.</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 Nicole, “Title of paper with only first word capitalized,” J. Name Stand. Abbrev., in press.</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Y. Yorozu, M. Hirano, K. Oka, and Y. Tagawa, “Electron spectroscopy studies on magneto-optical media and plastic substrate interface,” IEEE Transl. J. Magn. Japan, vol. 2, pp. 740–741, August 1987 [Digests 9th Annual Conf. Magnetics Japan, p. 301, 1982].</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 Young, The Technical Writer’s Handbook. Mill Valley, CA: University Science, 1989.</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K. Eves and J. Valasek, “Adaptive control for singularly perturbed systems examples,” Code Ocean, Aug. 2023. [Online]. Available: </w:t>
      </w:r>
      <w:hyperlink r:id="rId7">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https://codeocean.com/capsule/4989235/tree</w:t>
        </w:r>
      </w:hyperlink>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54" w:right="0" w:hanging="354"/>
        <w:jc w:val="left"/>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 P. Kingma and M. Welling, “Auto-encoding variational Bayes,” 2013, arXiv:1312.6114. [Online]. Available: </w:t>
      </w:r>
      <w:hyperlink r:id="rId8">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https://arxiv.org/abs/1312.6114</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54" w:right="0" w:hanging="354"/>
        <w:jc w:val="left"/>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 Liu, “Wi-Fi Energy Detection Testbed (12MTC),” 2023, gitHub repository. [Online]. Available: https://github.com/liustone99/Wi-Fi-Energy-Detection-Testbed-12MTC </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54" w:right="0" w:hanging="354"/>
        <w:jc w:val="left"/>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“Treatment episode data set: discharges (TEDS-D): concatenated, 2006 to 2009.” U.S. Department of Health and Human Services, Substance Abuse and Mental Health Services Administration, Office of Applied Studies, August, 2013, DOI:10.3886/ICPSR30122.v2</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54"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center"/>
        <w:rPr>
          <w:rFonts w:ascii="Times New Roman" w:cs="Times New Roman" w:eastAsia="Times New Roman" w:hAnsi="Times New Roman"/>
          <w:b w:val="1"/>
          <w:bCs w:val="1"/>
          <w:i w:val="0"/>
          <w:iCs w:val="0"/>
          <w:smallCaps w:val="0"/>
          <w:strike w:val="0"/>
          <w:color w:val="ff0000"/>
          <w:sz w:val="20"/>
          <w:szCs w:val="20"/>
          <w:u w:val="none"/>
          <w:shd w:fill="auto" w:val="clear"/>
          <w:vertAlign w:val="baseline"/>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rFonts w:ascii="Times New Roman" w:cs="Times New Roman" w:eastAsia="Times New Roman" w:hAnsi="Times New Roman"/>
          <w:b w:val="1"/>
          <w:bCs w:val="1"/>
          <w:i w:val="0"/>
          <w:iCs w:val="0"/>
          <w:smallCaps w:val="0"/>
          <w:strike w:val="0"/>
          <w:color w:val="ff0000"/>
          <w:sz w:val="20"/>
          <w:szCs w:val="20"/>
          <w:u w:val="none"/>
          <w:shd w:fill="auto" w:val="clear"/>
          <w:vertAlign w:val="baseline"/>
          <w:rtl w:val="0"/>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may result in your paper not being published.</w:t>
      </w:r>
    </w:p>
    <w:p w:rsidR="00000000" w:rsidDel="00000000" w:rsidP="00000000" w:rsidRDefault="00000000" w:rsidRPr="00000000" w14:paraId="0000005D">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246698</wp:posOffset>
                </wp:positionV>
                <wp:extent cx="3209925" cy="1152525"/>
                <wp:effectExtent b="0" l="0" r="0" t="0"/>
                <wp:wrapSquare wrapText="bothSides" distB="0" distT="0" distL="114300" distR="114300"/>
                <wp:docPr id="1" name=""/>
                <a:graphic>
                  <a:graphicData uri="http://schemas.microsoft.com/office/word/2010/wordprocessingShape">
                    <wps:wsp>
                      <wps:cNvSpPr/>
                      <wps:cNvPr id="2" name="Shape 2"/>
                      <wps:spPr>
                        <a:xfrm>
                          <a:off x="3745800" y="3208500"/>
                          <a:ext cx="3200400" cy="1143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20" w:before="0" w:line="227.99999713897705"/>
                              <w:ind w:left="0" w:right="0" w:firstLine="287.99999237060547"/>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We suggest that you use a text box to insert a graphic (which is ideally a 300 dpi TIFF or EPS file, with all fonts embedded) because, in an MSW document, this method is somewhat more stable than directly inserting a picture.</w:t>
                            </w:r>
                          </w:p>
                          <w:p w:rsidR="00000000" w:rsidDel="00000000" w:rsidP="00000000" w:rsidRDefault="00000000" w:rsidRPr="00000000">
                            <w:pPr>
                              <w:spacing w:after="120" w:before="0" w:line="227.99999713897705"/>
                              <w:ind w:left="0" w:right="0" w:firstLine="287.99999237060547"/>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To have non-visible rules on your frame, use the MSWord “Format” pull-down menu, select Text Box &gt; Colors and Lines to choose No Fill and No Line.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246698</wp:posOffset>
                </wp:positionV>
                <wp:extent cx="3209925" cy="115252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3209925" cy="1152525"/>
                        </a:xfrm>
                        <a:prstGeom prst="rect"/>
                        <a:ln/>
                      </pic:spPr>
                    </pic:pic>
                  </a:graphicData>
                </a:graphic>
              </wp:anchor>
            </w:drawing>
          </mc:Fallback>
        </mc:AlternateContent>
      </w:r>
    </w:p>
    <w:sectPr>
      <w:type w:val="continuous"/>
      <w:pgSz w:h="16838" w:w="11906"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XXX-X-XXXX-XXXX-X/XX/$XX.00 ©20XX IEEE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Fig. %1."/>
      <w:lvlJc w:val="left"/>
      <w:pPr>
        <w:ind w:left="360" w:hanging="360"/>
      </w:pPr>
      <w:rPr>
        <w:rFonts w:ascii="Times New Roman" w:cs="Times New Roman" w:eastAsia="Times New Roman" w:hAnsi="Times New Roman"/>
        <w:b w:val="0"/>
        <w:bCs w:val="0"/>
        <w:i w:val="0"/>
        <w:iCs w:val="0"/>
        <w:color w:val="000000"/>
        <w:sz w:val="16"/>
        <w:szCs w:val="1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right"/>
      <w:pPr>
        <w:ind w:left="418" w:hanging="360"/>
      </w:pPr>
      <w:rPr>
        <w:rFonts w:ascii="Times New Roman" w:cs="Times New Roman" w:eastAsia="Times New Roman" w:hAnsi="Times New Roman"/>
        <w:b w:val="0"/>
        <w:bCs w:val="0"/>
        <w:i w:val="0"/>
        <w:iCs w:val="0"/>
        <w:smallCaps w:val="0"/>
        <w:strike w:val="0"/>
        <w:color w:val="000000"/>
        <w:sz w:val="16"/>
        <w:szCs w:val="16"/>
        <w:vertAlign w:val="superscript"/>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rPr>
    </w:lvl>
    <w:lvl w:ilvl="4">
      <w:start w:val="1"/>
      <w:numFmt w:val="decimal"/>
      <w:lvlText w:val=""/>
      <w:lvlJc w:val="left"/>
      <w:pPr>
        <w:ind w:left="2880" w:hanging="2880"/>
      </w:pPr>
      <w:rPr/>
    </w:lvl>
    <w:lvl w:ilvl="5">
      <w:start w:val="1"/>
      <w:numFmt w:val="lowerLetter"/>
      <w:lvlText w:val="(%6)"/>
      <w:lvlJc w:val="left"/>
      <w:pPr>
        <w:ind w:left="3600" w:hanging="3600"/>
      </w:pPr>
      <w:rPr/>
    </w:lvl>
    <w:lvl w:ilvl="6">
      <w:start w:val="1"/>
      <w:numFmt w:val="lowerRoman"/>
      <w:lvlText w:val="(%7)"/>
      <w:lvlJc w:val="left"/>
      <w:pPr>
        <w:ind w:left="4320" w:hanging="4320"/>
      </w:pPr>
      <w:rPr/>
    </w:lvl>
    <w:lvl w:ilvl="7">
      <w:start w:val="1"/>
      <w:numFmt w:val="lowerLetter"/>
      <w:lvlText w:val="(%8)"/>
      <w:lvlJc w:val="left"/>
      <w:pPr>
        <w:ind w:left="5040" w:hanging="5040"/>
      </w:pPr>
      <w:rPr/>
    </w:lvl>
    <w:lvl w:ilvl="8">
      <w:start w:val="1"/>
      <w:numFmt w:val="lowerRoman"/>
      <w:lvlText w:val="(%9)"/>
      <w:lvlJc w:val="left"/>
      <w:pPr>
        <w:ind w:left="5760" w:hanging="5760"/>
      </w:pPr>
      <w:rPr/>
    </w:lvl>
  </w:abstractNum>
  <w:abstractNum w:abstractNumId="4">
    <w:lvl w:ilvl="0">
      <w:start w:val="1"/>
      <w:numFmt w:val="decimal"/>
      <w:lvlText w:val="[%1]"/>
      <w:lvlJc w:val="left"/>
      <w:pPr>
        <w:ind w:left="360" w:hanging="360"/>
      </w:pPr>
      <w:rPr>
        <w:rFonts w:ascii="Times New Roman" w:cs="Times New Roman" w:eastAsia="Times New Roman" w:hAnsi="Times New Roman"/>
        <w:b w:val="0"/>
        <w:bCs w:val="0"/>
        <w:i w:val="0"/>
        <w:iCs w:val="0"/>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upperRoman"/>
      <w:lvlText w:val="TABLE %1. "/>
      <w:lvlJc w:val="left"/>
      <w:pPr>
        <w:ind w:left="0" w:firstLine="0"/>
      </w:pPr>
      <w:rPr>
        <w:rFonts w:ascii="Times New Roman" w:cs="Times New Roman" w:eastAsia="Times New Roman" w:hAnsi="Times New Roman"/>
        <w:b w:val="0"/>
        <w:bCs w:val="0"/>
        <w:i w:val="0"/>
        <w:iCs w:val="0"/>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spacing w:after="60" w:before="120" w:lineRule="auto"/>
      <w:ind w:left="288" w:hanging="288"/>
      <w:jc w:val="left"/>
    </w:pPr>
    <w:rPr>
      <w:i w:val="1"/>
      <w:iCs w:val="1"/>
    </w:rPr>
  </w:style>
  <w:style w:type="paragraph" w:styleId="Heading3">
    <w:name w:val="heading 3"/>
    <w:basedOn w:val="Normal"/>
    <w:next w:val="Normal"/>
    <w:pPr>
      <w:spacing w:line="240" w:lineRule="auto"/>
      <w:ind w:left="0" w:firstLine="288"/>
      <w:jc w:val="both"/>
    </w:pPr>
    <w:rPr>
      <w:i w:val="1"/>
      <w:iCs w:val="1"/>
    </w:rPr>
  </w:style>
  <w:style w:type="paragraph" w:styleId="Heading4">
    <w:name w:val="heading 4"/>
    <w:basedOn w:val="Normal"/>
    <w:next w:val="Normal"/>
    <w:pPr>
      <w:tabs>
        <w:tab w:val="left" w:leader="none" w:pos="720"/>
      </w:tabs>
      <w:spacing w:after="40" w:before="40" w:lineRule="auto"/>
      <w:ind w:left="0"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yperlink" Target="https://codeocean.com/capsule/4989235/tree" TargetMode="External"/><Relationship Id="rId8" Type="http://schemas.openxmlformats.org/officeDocument/2006/relationships/hyperlink" Target="https://arxiv.org/abs/1312.61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