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impresoras instaladas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de impresoras que presentaron errores durante la instalación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Cantidad total de errores durante las instalaciones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Instalación de Lectores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Cantidad de productos instalados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Cantidad de productos que presentaron errores durante la instalación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Cantidad total de errores durante las instalaciones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