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b/>
          <w:bCs/>
          <w:color w:val="1F4E79"/>
          <w:sz w:val="32"/>
          <w:szCs w:val="32"/>
        </w:rPr>
        <w:t xml:space="preserve">Kristian Wareing</w:t>
      </w:r>
    </w:p>
    <w:p>
      <w:pPr>
        <w:spacing w:after="80" w:before="0"/>
        <w:jc w:val="center"/>
      </w:pPr>
      <w:r>
        <w:rPr>
          <w:b/>
          <w:bCs/>
          <w:color w:val="2E75B6"/>
          <w:sz w:val="28"/>
          <w:szCs w:val="28"/>
        </w:rPr>
        <w:t xml:space="preserve">Assignment 3.2 – Normalized Tables</w:t>
      </w:r>
    </w:p>
    <w:p>
      <w:pPr>
        <w:spacing w:after="320" w:before="0"/>
        <w:jc w:val="center"/>
      </w:pPr>
      <w:r>
        <w:rPr>
          <w:color w:val="595959"/>
          <w:sz w:val="22"/>
          <w:szCs w:val="22"/>
        </w:rPr>
        <w:t xml:space="preserve">CSD-310 | Database Fundamentals</w:t>
      </w:r>
    </w:p>
    <w:p>
      <w:pPr>
        <w:spacing w:after="120" w:before="320"/>
      </w:pPr>
      <w:r>
        <w:rPr>
          <w:b/>
          <w:bCs/>
          <w:color w:val="1F4E79"/>
          <w:sz w:val="26"/>
          <w:szCs w:val="26"/>
        </w:rPr>
        <w:t xml:space="preserve">1NF – Unnormalized / First Normal Form</w:t>
      </w:r>
    </w:p>
    <w:p>
      <w:pPr>
        <w:spacing w:after="200" w:before="80"/>
      </w:pPr>
      <w:r>
        <w:rPr>
          <w:i/>
          <w:iCs/>
          <w:color w:val="595959"/>
          <w:sz w:val="18"/>
          <w:szCs w:val="18"/>
        </w:rPr>
        <w:t xml:space="preserve">All fields placed in a single flat table. Repeating groups exist (a publisher row repeats per book/author). No derived fields; atomic values only.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100"/>
        <w:gridCol w:w="1100"/>
        <w:gridCol w:w="1200"/>
        <w:gridCol w:w="1000"/>
        <w:gridCol w:w="800"/>
        <w:gridCol w:w="900"/>
        <w:gridCol w:w="900"/>
        <w:gridCol w:w="800"/>
        <w:gridCol w:w="900"/>
        <w:gridCol w:w="900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publisher_ID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publisher_name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publisher_address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publisher_email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book_isbn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book_name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book_price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author_first_name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author_last_name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author_phone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author_email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author_address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PUB01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Pearson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123 Main St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info@pearson.com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978-0-13-110362-7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 to CS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$59.99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Dennis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Ritchie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555-1234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dr@email.com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456 Elm St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PUB01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Pearson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123 Main St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info@pearson.com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978-0-13-468599-1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Programming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$49.99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Brian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Kernighan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555-5678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bk@email.com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789 Oak Ave</w:t>
            </w:r>
          </w:p>
        </w:tc>
      </w:tr>
    </w:tbl>
    <w:p>
      <w:r>
        <w:t xml:space="preserve"/>
      </w:r>
    </w:p>
    <w:p>
      <w:pPr>
        <w:spacing w:after="120" w:before="320"/>
      </w:pPr>
      <w:r>
        <w:rPr>
          <w:b/>
          <w:bCs/>
          <w:color w:val="1F4E79"/>
          <w:sz w:val="26"/>
          <w:szCs w:val="26"/>
        </w:rPr>
        <w:t xml:space="preserve">Assumptions</w:t>
      </w:r>
    </w:p>
    <w:p>
      <w:pPr>
        <w:spacing w:after="80" w:before="0"/>
      </w:pPr>
      <w:r>
        <w:rPr>
          <w:sz w:val="20"/>
          <w:szCs w:val="20"/>
        </w:rPr>
        <w:t xml:space="preserve">• A book can have multiple authors (many-to-many relationship between Book and Author).</w:t>
      </w:r>
    </w:p>
    <w:p>
      <w:pPr>
        <w:spacing w:after="80" w:before="0"/>
      </w:pPr>
      <w:r>
        <w:rPr>
          <w:sz w:val="20"/>
          <w:szCs w:val="20"/>
        </w:rPr>
        <w:t xml:space="preserve">• A book is published by exactly one publisher.</w:t>
      </w:r>
    </w:p>
    <w:p>
      <w:pPr>
        <w:spacing w:after="80" w:before="0"/>
      </w:pPr>
      <w:r>
        <w:rPr>
          <w:sz w:val="20"/>
          <w:szCs w:val="20"/>
        </w:rPr>
        <w:t xml:space="preserve">• author_ID is a surrogate key added to uniquely identify authors (first/last name alone is not reliable).</w:t>
      </w:r>
    </w:p>
    <w:p>
      <w:pPr>
        <w:spacing w:after="80" w:before="0"/>
      </w:pPr>
      <w:r>
        <w:rPr>
          <w:sz w:val="20"/>
          <w:szCs w:val="20"/>
        </w:rPr>
        <w:t xml:space="preserve">• publisher_email is a property of the publisher, not transitively dependent on any book or author field.</w:t>
      </w:r>
    </w:p>
    <w:p>
      <w:pPr>
        <w:spacing w:after="80" w:before="0"/>
      </w:pPr>
      <w:r>
        <w:rPr>
          <w:sz w:val="20"/>
          <w:szCs w:val="20"/>
        </w:rPr>
        <w:t xml:space="preserve">• book_price is a direct attribute of the book (not dependent on publisher or author).</w:t>
      </w:r>
    </w:p>
    <w:p>
      <w:r>
        <w:t xml:space="preserve"/>
      </w:r>
    </w:p>
    <w:p>
      <w:pPr>
        <w:spacing w:after="120" w:before="320"/>
      </w:pPr>
      <w:r>
        <w:rPr>
          <w:b/>
          <w:bCs/>
          <w:color w:val="1F4E79"/>
          <w:sz w:val="26"/>
          <w:szCs w:val="26"/>
        </w:rPr>
        <w:t xml:space="preserve">3NF – Third Normal Form</w:t>
      </w:r>
    </w:p>
    <w:p>
      <w:pPr>
        <w:spacing w:after="200" w:before="80"/>
      </w:pPr>
      <w:r>
        <w:rPr>
          <w:i/>
          <w:iCs/>
          <w:color w:val="595959"/>
          <w:sz w:val="18"/>
          <w:szCs w:val="18"/>
        </w:rPr>
        <w:t xml:space="preserve">Each non-key attribute depends only on the primary key of its table (no partial or transitive dependencies). publisher_name, address, and email are moved to their own table to eliminate transitive dependency through book_isbn → publisher_ID → publisher_name/address/email.</w:t>
      </w:r>
    </w:p>
    <w:p>
      <w:r>
        <w:t xml:space="preserve"/>
      </w:r>
    </w:p>
    <w:p>
      <w:pPr>
        <w:spacing w:after="120" w:before="320"/>
      </w:pPr>
      <w:r>
        <w:rPr>
          <w:b/>
          <w:bCs/>
          <w:color w:val="1F4E79"/>
          <w:sz w:val="26"/>
          <w:szCs w:val="26"/>
        </w:rPr>
        <w:t xml:space="preserve">Publisher Table</w:t>
      </w:r>
    </w:p>
    <w:p>
      <w:pPr>
        <w:spacing w:after="200" w:before="80"/>
      </w:pPr>
      <w:r>
        <w:rPr>
          <w:i/>
          <w:iCs/>
          <w:color w:val="595959"/>
          <w:sz w:val="18"/>
          <w:szCs w:val="18"/>
        </w:rPr>
        <w:t xml:space="preserve">PK: publisher_ID | Stores all publisher-specific attributes. Eliminates transitive dependency from Book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80"/>
        <w:gridCol w:w="258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publisher_ID (PK)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publisher_name</w:t>
            </w:r>
          </w:p>
        </w:tc>
        <w:tc>
          <w:tcPr>
            <w:tcW w:type="dxa" w:w="25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publisher_address</w:t>
            </w:r>
          </w:p>
        </w:tc>
        <w:tc>
          <w:tcPr>
            <w:tcW w:type="dxa" w:w="25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publisher_email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PUB01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Pearson</w:t>
            </w:r>
          </w:p>
        </w:tc>
        <w:tc>
          <w:tcPr>
            <w:tcW w:type="dxa" w:w="25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123 Main St</w:t>
            </w:r>
          </w:p>
        </w:tc>
        <w:tc>
          <w:tcPr>
            <w:tcW w:type="dxa" w:w="25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info@pearson.com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PUB02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O'Reilly</w:t>
            </w:r>
          </w:p>
        </w:tc>
        <w:tc>
          <w:tcPr>
            <w:tcW w:type="dxa" w:w="25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456 Oak Ave</w:t>
            </w:r>
          </w:p>
        </w:tc>
        <w:tc>
          <w:tcPr>
            <w:tcW w:type="dxa" w:w="25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contact@oreilly.com</w:t>
            </w:r>
          </w:p>
        </w:tc>
      </w:tr>
    </w:tbl>
    <w:p>
      <w:r>
        <w:t xml:space="preserve"/>
      </w:r>
    </w:p>
    <w:p>
      <w:pPr>
        <w:spacing w:after="120" w:before="320"/>
      </w:pPr>
      <w:r>
        <w:rPr>
          <w:b/>
          <w:bCs/>
          <w:color w:val="1F4E79"/>
          <w:sz w:val="26"/>
          <w:szCs w:val="26"/>
        </w:rPr>
        <w:t xml:space="preserve">Author Table</w:t>
      </w:r>
    </w:p>
    <w:p>
      <w:pPr>
        <w:spacing w:after="200" w:before="80"/>
      </w:pPr>
      <w:r>
        <w:rPr>
          <w:i/>
          <w:iCs/>
          <w:color w:val="595959"/>
          <w:sz w:val="18"/>
          <w:szCs w:val="18"/>
        </w:rPr>
        <w:t xml:space="preserve">PK: author_ID (surrogate) | All author attributes depend solely on author_ID.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15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author_ID (PK)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author_first_name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author_last_name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author_phone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author_email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author_address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AUTH01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Dennis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Ritchie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555-1234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dr@email.com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456 Elm St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AUTH02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Brian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Kernighan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555-5678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bk@email.com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789 Oak Ave</w:t>
            </w:r>
          </w:p>
        </w:tc>
      </w:tr>
    </w:tbl>
    <w:p>
      <w:r>
        <w:t xml:space="preserve"/>
      </w:r>
    </w:p>
    <w:p>
      <w:pPr>
        <w:spacing w:after="120" w:before="320"/>
      </w:pPr>
      <w:r>
        <w:rPr>
          <w:b/>
          <w:bCs/>
          <w:color w:val="1F4E79"/>
          <w:sz w:val="26"/>
          <w:szCs w:val="26"/>
        </w:rPr>
        <w:t xml:space="preserve">Book Table</w:t>
      </w:r>
    </w:p>
    <w:p>
      <w:pPr>
        <w:spacing w:after="200" w:before="80"/>
      </w:pPr>
      <w:r>
        <w:rPr>
          <w:i/>
          <w:iCs/>
          <w:color w:val="595959"/>
          <w:sz w:val="18"/>
          <w:szCs w:val="18"/>
        </w:rPr>
        <w:t xml:space="preserve">PK: book_isbn | publisher_ID is a FK to Publisher. book_name and book_price depend only on the isbn.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3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book_isbn (PK)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book_name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book_price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publisher_ID (FK)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978-0-13-110362-7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 to CS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$59.99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PUB01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978-0-13-468599-1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Programming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$49.99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PUB01</w:t>
            </w:r>
          </w:p>
        </w:tc>
      </w:tr>
    </w:tbl>
    <w:p>
      <w:r>
        <w:t xml:space="preserve"/>
      </w:r>
    </w:p>
    <w:p>
      <w:pPr>
        <w:spacing w:after="120" w:before="320"/>
      </w:pPr>
      <w:r>
        <w:rPr>
          <w:b/>
          <w:bCs/>
          <w:color w:val="1F4E79"/>
          <w:sz w:val="26"/>
          <w:szCs w:val="26"/>
        </w:rPr>
        <w:t xml:space="preserve">Book_Author Table (Junction)</w:t>
      </w:r>
    </w:p>
    <w:p>
      <w:pPr>
        <w:spacing w:after="200" w:before="80"/>
      </w:pPr>
      <w:r>
        <w:rPr>
          <w:i/>
          <w:iCs/>
          <w:color w:val="595959"/>
          <w:sz w:val="18"/>
          <w:szCs w:val="18"/>
        </w:rPr>
        <w:t xml:space="preserve">Composite PK: (book_isbn, author_ID) | Resolves the many-to-many relationship between Book and Author. Both columns are also FKs.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book_isbn (PK, FK)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author_ID (PK, FK)</w:t>
            </w:r>
          </w:p>
        </w:tc>
      </w:tr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978-0-13-110362-7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AUTH01</w:t>
            </w:r>
          </w:p>
        </w:tc>
      </w:tr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978-0-13-468599-1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AUTH02</w:t>
            </w:r>
          </w:p>
        </w:tc>
      </w:tr>
    </w:tbl>
    <w:p>
      <w:r>
        <w:t xml:space="preserve"/>
      </w:r>
    </w:p>
    <w:p>
      <w:pPr>
        <w:spacing w:after="0" w:before="200"/>
      </w:pPr>
      <w:r>
        <w:rPr>
          <w:b/>
          <w:bCs/>
          <w:sz w:val="18"/>
          <w:szCs w:val="18"/>
        </w:rPr>
        <w:t xml:space="preserve">Color legend:  </w:t>
      </w:r>
      <w:r>
        <w:rPr>
          <w:b/>
          <w:bCs/>
          <w:color w:val="1F4E79"/>
          <w:sz w:val="18"/>
          <w:szCs w:val="18"/>
        </w:rPr>
        <w:t xml:space="preserve">Blue bold</w:t>
      </w:r>
      <w:r>
        <w:rPr>
          <w:sz w:val="18"/>
          <w:szCs w:val="18"/>
        </w:rPr>
        <w:t xml:space="preserve"> = Primary Key    </w:t>
      </w:r>
      <w:r>
        <w:rPr>
          <w:b/>
          <w:bCs/>
          <w:color w:val="7030A0"/>
          <w:sz w:val="18"/>
          <w:szCs w:val="18"/>
        </w:rPr>
        <w:t xml:space="preserve">Purple bold</w:t>
      </w:r>
      <w:r>
        <w:rPr>
          <w:sz w:val="18"/>
          <w:szCs w:val="18"/>
        </w:rPr>
        <w:t xml:space="preserve"> = Foreign Key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2026-06-21T18:08:31.672Z</dcterms:created>
  <dcterms:modified xsi:type="dcterms:W3CDTF">2026-06-21T18:08:31.672Z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