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7.png" ContentType="image/png"/>
  <Override PartName="/word/media/rId24.png" ContentType="image/png"/>
  <Override PartName="/word/media/rId31.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Metazoan</w:t>
      </w:r>
      <w:r>
        <w:t xml:space="preserve"> </w:t>
      </w:r>
      <w:r>
        <w:t xml:space="preserve">Metabarcoding</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14</w:t>
      </w:r>
      <w:r>
        <w:t xml:space="preserve"> </w:t>
      </w:r>
      <w:r>
        <w:t xml:space="preserve">July,</w:t>
      </w:r>
      <w:r>
        <w:t xml:space="preserve"> </w:t>
      </w:r>
      <w:r>
        <w:t xml:space="preserve">2015</w:t>
      </w:r>
    </w:p>
    <w:p>
      <w:pPr>
        <w:pStyle w:val="Heading1"/>
      </w:pPr>
      <w:bookmarkStart w:id="21" w:name="introduction"/>
      <w:bookmarkEnd w:id="21"/>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(presumably 50%) and the number of trials.</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6</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Most notably, on top of the problems of potential contamination, detecting rare taxa and/or handling singleton evidence for rare taxa, and the potentially large variance in individual sizes of organisms, the relative read abundance in a NGS data set will often wildly vary (by multiple orders of magnitude) from the abundance of actual tissue in the data set</w:t>
      </w:r>
      <w:r>
        <w:t xml:space="preserve"> </w:t>
      </w:r>
      <w:r>
        <w:t xml:space="preserve">(Nguyen et al. 2015; Piñol et al. 2014; Bohmann et al. 2014)</w:t>
      </w:r>
      <w:r>
        <w:t xml:space="preserve">. This is caused primarily by shifts in amplification efficiency given mismatches in the primer region, and is often dealt with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our goal is to understand the actual relative abundance of individuals of different species in a sample - with these species harboring variation at 'barcode' loci, and often being highly divergent from one another - the question is whether there is complementary information that can be extracted from these data that does not rely on the abundance of reads that are assigned to a taxon, but relies on our understanding of diversity within populations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or as the mutation rate at that locus increases, more polymorphisms and more diversity will be found.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of</w:t>
      </w:r>
      <w:r>
        <w:t xml:space="preserve"> </w:t>
      </w:r>
      <m:oMath>
        <m:r>
          <m:rPr>
            <m:sty m:val="p"/>
          </m:rPr>
          <m:t>θ</m:t>
        </m:r>
      </m:oMath>
      <w:r>
        <w:t xml:space="preserve"> </w:t>
      </w:r>
      <w:r>
        <w:t xml:space="preserve">using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information about abundance patterns from NGS data. This information also certainly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returns -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have some information about the probability associated with larger numbers of individuals.</w:t>
      </w:r>
    </w:p>
    <w:p>
      <w:r>
        <w:t xml:space="preserve">Here we present the mathematical considerations necessary to develop these quantitative tools, and then evaluate the situations in which there is sufficient power to make meaningful statements about relative abundance from polymorphism data alone.</w:t>
      </w:r>
    </w:p>
    <w:p>
      <w:pPr>
        <w:pStyle w:val="Heading1"/>
      </w:pPr>
      <w:bookmarkStart w:id="22" w:name="methods"/>
      <w:bookmarkEnd w:id="22"/>
      <w:r>
        <w:t xml:space="preserve">Methods</w:t>
      </w:r>
    </w:p>
    <w:p>
      <w:r>
        <w:t xml:space="preserve">The approach here is identifying information that can comfortably be used as prior information to establish the posterior probability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about 200 individual specimens were originally used for isolation of DNA, then the maximum number of total individuals inferred from this approach should be about 200. This is perhaps not a groundbreaking numerical advance in biology, but limits our prior belief nonetheless.</w:t>
      </w:r>
    </w:p>
    <w:p>
      <w:r>
        <w:t xml:space="preserve">There are also clear minimum bounds that can be established for the abundance of a taxon. Considering DNA sequence haplotypes as our most basic information,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0, it is also likely to be the maximum number of individuals in the sample).</w:t>
      </w:r>
    </w:p>
    <w:p>
      <w:pPr>
        <w:pStyle w:val="Heading2"/>
      </w:pPr>
      <w:bookmarkStart w:id="23" w:name="gamma-approach"/>
      <w:bookmarkEnd w:id="23"/>
      <w:r>
        <w:t xml:space="preserve">Gamma approach</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sample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useful,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defined by the number of haplotypes.</w:t>
      </w:r>
    </w:p>
    <w:p>
      <w:r>
        <w:drawing>
          <wp:inline>
            <wp:extent cx="5440680" cy="4352544"/>
            <wp:effectExtent b="0" l="0" r="0" t="0"/>
            <wp:docPr descr="" id="1" name="Picture"/>
            <a:graphic>
              <a:graphicData uri="http://schemas.openxmlformats.org/drawingml/2006/picture">
                <pic:pic>
                  <pic:nvPicPr>
                    <pic:cNvPr descr="QuBar_7Jul2015_files/figure-docx/fig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 observing 10 haplotypes for this taxon, and given a relatively haphazard use of the Gamma to obtain a useful probability shape given assumptions about how informative haplotype diversity is, we might feel comfortable believing (with a 95% interval) there are between 10 and 47 actual individuals that were sampled, with a most-probable solution of 14. A problem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are related through the frequency of haplotypes - remember, at this point we are assuming we cannot trust the proportion/frequency representation of an allele in our sample.</w:t>
      </w:r>
    </w:p>
    <w:p>
      <w:pPr>
        <w:pStyle w:val="Heading2"/>
      </w:pPr>
      <w:bookmarkStart w:id="25" w:name="true-diversity-indices"/>
      <w:bookmarkEnd w:id="25"/>
      <w:r>
        <w:t xml:space="preserve">True diversity indices</w:t>
      </w:r>
    </w:p>
    <w:p>
      <w:r>
        <w:t xml:space="preserve">Another way to approach this is through 'true diversity' indices</w:t>
      </w:r>
      <w:r>
        <w:t xml:space="preserve"> </w:t>
      </w:r>
      <w:r>
        <w:t xml:space="preserve">(reviewed in Sherwin 2010)</w:t>
      </w:r>
      <w:r>
        <w:t xml:space="preserve">, as this family of statistics indicates the number of equally abundant types that have an average frequency equal to the observed average of types. This would mean that instead of taking H as a given from a previously-studied taxon or population, the extant data would be used to calculate</w:t>
      </w:r>
    </w:p>
    <w:p>
      <m:oMathPara>
        <m:oMathParaPr>
          <m:jc m:val="center"/>
        </m:oMathParaPr>
        <m:oMath>
          <m:sSup>
            <m:e>
              <m:r>
                <m:rPr>
                  <m:sty m:val="p"/>
                </m:rPr>
                <m:t/>
              </m:r>
            </m:e>
            <m:sup>
              <m:r>
                <m:rPr>
                  <m:sty m:val="p"/>
                </m:rPr>
                <m:t>q</m:t>
              </m:r>
            </m:sup>
          </m:sSup>
          <m:r>
            <m:rPr>
              <m:sty m:val="p"/>
            </m:rPr>
            <m:t>D</m:t>
          </m:r>
          <m:r>
            <m:rPr>
              <m:sty m:val="p"/>
            </m:rPr>
            <m:t>=</m:t>
          </m:r>
          <m:r>
            <m:rPr>
              <m:sty m:val="p"/>
            </m:rPr>
            <m:t>(</m:t>
          </m:r>
          <m:nary>
            <m:naryPr>
              <m:chr m:val="∑"/>
              <m:limLoc m:val="undOvr"/>
              <m:supHide m:val="off"/>
              <m:supHide m:val="off"/>
            </m:naryPr>
            <m:e>
              <m:sSubSup>
                <m:e>
                  <m:r>
                    <m:rPr>
                      <m:sty m:val="p"/>
                    </m:rPr>
                    <m:t>p</m:t>
                  </m:r>
                </m:e>
                <m:sub>
                  <m:r>
                    <m:rPr>
                      <m:sty m:val="p"/>
                    </m:rPr>
                    <m:t>i</m:t>
                  </m:r>
                </m:sub>
                <m:sup>
                  <m:r>
                    <m:rPr>
                      <m:sty m:val="p"/>
                    </m:rPr>
                    <m:t>q</m:t>
                  </m:r>
                </m:sup>
              </m:sSubSup>
            </m:e>
            <m:sub>
              <m:r>
                <m:rPr>
                  <m:sty m:val="p"/>
                </m:rPr>
                <m:t>i</m:t>
              </m:r>
              <m:r>
                <m:rPr>
                  <m:sty m:val="p"/>
                </m:rPr>
                <m:t>=</m:t>
              </m:r>
              <m:r>
                <m:rPr>
                  <m:sty m:val="p"/>
                </m:rPr>
                <m:t>1</m:t>
              </m:r>
            </m:sub>
            <m:sup>
              <m:r>
                <m:rPr>
                  <m:sty m:val="p"/>
                </m:rPr>
                <m:t>R</m:t>
              </m:r>
            </m:sup>
          </m:nary>
          <m:sSup>
            <m:e>
              <m:r>
                <m:rPr>
                  <m:sty m:val="p"/>
                </m:rPr>
                <m:t>)</m:t>
              </m:r>
            </m:e>
            <m:sup>
              <m:r>
                <m:rPr>
                  <m:sty m:val="p"/>
                </m:rPr>
                <m:t>1</m:t>
              </m:r>
              <m:r>
                <m:rPr>
                  <m:sty m:val="p"/>
                </m:rPr>
                <m:t>/</m:t>
              </m:r>
              <m:r>
                <m:rPr>
                  <m:sty m:val="p"/>
                </m:rPr>
                <m:t>(</m:t>
              </m:r>
              <m:r>
                <m:rPr>
                  <m:sty m:val="p"/>
                </m:rPr>
                <m:t>1</m:t>
              </m:r>
              <m:r>
                <m:rPr>
                  <m:sty m:val="p"/>
                </m:rPr>
                <m:t>−</m:t>
              </m:r>
              <m:r>
                <m:rPr>
                  <m:sty m:val="p"/>
                </m:rPr>
                <m:t>q</m:t>
              </m:r>
              <m:r>
                <m:rPr>
                  <m:sty m:val="p"/>
                </m:rPr>
                <m:t>)</m:t>
              </m:r>
            </m:sup>
          </m:sSup>
        </m:oMath>
      </m:oMathPara>
    </w:p>
    <w:p>
      <w:r>
        <w:t xml:space="preserve">where</w:t>
      </w:r>
      <w:r>
        <w:t xml:space="preserve"> </w:t>
      </w:r>
      <w:r>
        <w:rPr>
          <w:i/>
        </w:rPr>
        <w:t xml:space="preserve">R</w:t>
      </w:r>
      <w:r>
        <w:t xml:space="preserve"> </w:t>
      </w:r>
      <w:r>
        <w:t xml:space="preserve">is richness (number of types). As the Simpson (1949) index is used to indicate the probability that two individuals taken at random from the data are of the same (haplo)type, a comparable statistic to</w:t>
      </w:r>
      <w:r>
        <w:t xml:space="preserve"> </w:t>
      </w:r>
      <w:r>
        <w:rPr>
          <w:i/>
        </w:rPr>
        <w:t xml:space="preserve">H</w:t>
      </w:r>
      <w:r>
        <w:t xml:space="preserve"> </w:t>
      </w:r>
      <w:r>
        <w:t xml:space="preserve">is reached by taking the inverse Simpson index, or</w:t>
      </w:r>
      <w:r>
        <w:t xml:space="preserve"> </w:t>
      </w:r>
      <m:oMath>
        <m:sSup>
          <m:e>
            <m:r>
              <m:rPr>
                <m:sty m:val="p"/>
              </m:rPr>
              <m:t/>
            </m:r>
          </m:e>
          <m:sup>
            <m:r>
              <m:rPr>
                <m:sty m:val="p"/>
              </m:rPr>
              <m:t>2</m:t>
            </m:r>
          </m:sup>
        </m:sSup>
        <m:r>
          <m:rPr>
            <m:sty m:val="p"/>
          </m:rPr>
          <m:t>D</m:t>
        </m:r>
      </m:oMath>
      <w:r>
        <w:t xml:space="preserve">, and then transforming into the Gini-Simpson index as</w:t>
      </w:r>
      <w:r>
        <w:t xml:space="preserve"> </w:t>
      </w:r>
      <m:oMath>
        <m:r>
          <m:rPr>
            <m:sty m:val="p"/>
          </m:rPr>
          <m:t>1</m:t>
        </m:r>
        <m:r>
          <m:rPr>
            <m:sty m:val="p"/>
          </m:rPr>
          <m:t>−</m:t>
        </m:r>
        <m:r>
          <m:rPr>
            <m:sty m:val="p"/>
          </m:rPr>
          <m:t>1</m:t>
        </m:r>
        <m:sSup>
          <m:e>
            <m:r>
              <m:rPr>
                <m:sty m:val="p"/>
              </m:rPr>
              <m:t>/</m:t>
            </m:r>
          </m:e>
          <m:sup>
            <m:r>
              <m:rPr>
                <m:sty m:val="p"/>
              </m:rPr>
              <m:t>2</m:t>
            </m:r>
          </m:sup>
        </m:sSup>
        <m:r>
          <m:rPr>
            <m:sty m:val="p"/>
          </m:rPr>
          <m:t>D</m:t>
        </m:r>
      </m:oMath>
      <w:r>
        <w:t xml:space="preserve">, again the probability that two individuals have distinct haplotypes.</w:t>
      </w:r>
    </w:p>
    <w:p>
      <w:r>
        <w:t xml:space="preserve">Evaluating a sample of sequences from the barnacle</w:t>
      </w:r>
      <w:r>
        <w:t xml:space="preserve"> </w:t>
      </w:r>
      <w:r>
        <w:rPr>
          <w:i/>
        </w:rPr>
        <w:t xml:space="preserve">Notochthamalus scabrosus</w:t>
      </w:r>
      <w:r>
        <w:t xml:space="preserve">, where 19 individuals were haphazardly sampled from the data of Laughlin et al.</w:t>
      </w:r>
      <w:r>
        <w:t xml:space="preserve"> </w:t>
      </w:r>
      <w:r>
        <w:t xml:space="preserve">(2012)</w:t>
      </w:r>
      <w:r>
        <w:t xml:space="preserve">, we see that these data would traditionally report haplotype diversity</w:t>
      </w:r>
      <w:r>
        <w:t xml:space="preserve"> </w:t>
      </w:r>
      <w:r>
        <w:rPr>
          <w:i/>
        </w:rPr>
        <w:t xml:space="preserve">H</w:t>
      </w:r>
      <w:r>
        <w:t xml:space="preserve"> </w:t>
      </w:r>
      <w:r>
        <w:t xml:space="preserve">of 0.7309942, from 9 observed haplotypes (most dominant haplotype at frequency 0.5263158), and in this instance the Gini-Simpson index is equal to 0.6925208. Now we have another statistic that can be calculated from previous data on the population, that focuses on the number of dominant haplotypes. Here, the inverse Simpson index</w:t>
      </w:r>
      <w:r>
        <w:t xml:space="preserve"> </w:t>
      </w:r>
      <m:oMath>
        <m:sSup>
          <m:e>
            <m:r>
              <m:rPr>
                <m:sty m:val="p"/>
              </m:rPr>
              <m:t/>
            </m:r>
          </m:e>
          <m:sup>
            <m:r>
              <m:rPr>
                <m:sty m:val="p"/>
              </m:rPr>
              <m:t>2</m:t>
            </m:r>
          </m:sup>
        </m:sSup>
        <m:r>
          <m:rPr>
            <m:sty m:val="p"/>
          </m:rPr>
          <m:t>D</m:t>
        </m:r>
      </m:oMath>
      <w:r>
        <w:t xml:space="preserve"> </w:t>
      </w:r>
      <w:r>
        <w:t xml:space="preserve">is 3.2522523, the effective number of haplotypes in the system. Using the approach detailed above, but given these data and assuming that the number of input sequences is unknown, we could say there are between 9 and 35 individuals that went into the sample. However, the method by which haplotype diversity is calculated does not address the guesswork by which we have so far applied our probability model.</w:t>
      </w:r>
    </w:p>
    <w:p>
      <w:r>
        <w:t xml:space="preserve">This model is intuitively useful - the number of individuals cannot be less than the number of haplotypes, and is likely more; the number of individuals could be much more than the number of haplotypes if marker diversity is low; and the distribution scales up as the minimum increases - however is mathematically not well-informed.</w:t>
      </w:r>
    </w:p>
    <w:p>
      <w:pPr>
        <w:pStyle w:val="Heading2"/>
      </w:pPr>
      <w:bookmarkStart w:id="26" w:name="theta-and-segregating-sites-wakeley-2008"/>
      <w:bookmarkEnd w:id="26"/>
      <w:r>
        <w:t xml:space="preserve">Theta and segregating sites (Wakeley 2008)</w:t>
      </w:r>
    </w:p>
    <w:p>
      <w:r>
        <w:t xml:space="preserve">As noted above,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Xa illustrates this distribution for</w:t>
      </w:r>
      <w:r>
        <w:t xml:space="preserve"> </w:t>
      </w:r>
      <m:oMath>
        <m:r>
          <m:rPr>
            <m:sty m:val="p"/>
          </m:rPr>
          <m:t>θ</m:t>
        </m:r>
      </m:oMath>
      <w:r>
        <w:t xml:space="preserve">=2. This represents a low-diversity population, and unless few segregating sites are observed there may be a broad range of sample sizes consistent with such an observation. Figure Xb illustrates the same probability distribution, but assuming</w:t>
      </w:r>
      <w:r>
        <w:t xml:space="preserve"> </w:t>
      </w:r>
      <m:oMath>
        <m:r>
          <m:rPr>
            <m:sty m:val="p"/>
          </m:rPr>
          <m:t>θ</m:t>
        </m:r>
      </m:oMath>
      <w:r>
        <w:t xml:space="preserve">=10. When the prior knowledge or assumption of diversity is higher, there tends to be a sharper distribution on</w:t>
      </w:r>
      <w:r>
        <w:t xml:space="preserve"> </w:t>
      </w:r>
      <w:r>
        <w:rPr>
          <w:i/>
        </w:rPr>
        <w:t xml:space="preserve">n</w:t>
      </w:r>
      <w:r>
        <w:t xml:space="preserve"> </w:t>
      </w:r>
      <w:r>
        <w:t xml:space="preserve">for a given</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7Jul2015_files/figure-docx/WakeleyCh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8" w:name="sampling-theory"/>
      <w:bookmarkEnd w:id="28"/>
      <w:r>
        <w:t xml:space="preserve">Sampling theory</w:t>
      </w:r>
    </w:p>
    <w:p>
      <w:r>
        <w:t xml:space="preserve">Ewens</w:t>
      </w:r>
      <w:r>
        <w:t xml:space="preserve"> </w:t>
      </w:r>
      <w:r>
        <w:t xml:space="preserve">(1972)</w:t>
      </w:r>
      <w:r>
        <w:t xml:space="preserve"> </w:t>
      </w:r>
      <w:r>
        <w:t xml:space="preserve">developed the sampling theory of selectively neutral alleles, that based in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approximate 1,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 theta 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sampling size is much lower than the actual population size.</w:t>
      </w:r>
    </w:p>
    <w:p>
      <w:pPr>
        <w:pStyle w:val="Heading1"/>
      </w:pPr>
      <w:bookmarkStart w:id="29" w:name="evaluation-of-inferences"/>
      <w:bookmarkEnd w:id="29"/>
      <w:r>
        <w:t xml:space="preserve">Evaluation of Inferences</w:t>
      </w:r>
    </w:p>
    <w:p>
      <w:r>
        <w:t xml:space="preserve">We propose two/three methods that could help to estimate the relative number of individuals in a barcoding sample: 1) gamma distribution, 2) theta and segregating sites, 3) sampling theory?. To evaluate the usefulness of each method, we used a simulation approach. We simulated populations with Hudson's MS program</w:t>
      </w:r>
      <w:r>
        <w:t xml:space="preserve"> </w:t>
      </w:r>
      <w:r>
        <w:t xml:space="preserve">(Hudson 2002)</w:t>
      </w:r>
      <w:r>
        <w:t xml:space="preserve"> </w:t>
      </w:r>
      <w:r>
        <w:t xml:space="preserve">using the</w:t>
      </w:r>
      <w:r>
        <w:t xml:space="preserve"> </w:t>
      </w:r>
      <w:r>
        <w:rPr>
          <w:i/>
        </w:rPr>
        <w:t xml:space="preserve">gap</w:t>
      </w:r>
      <w:r>
        <w:t xml:space="preserve"> </w:t>
      </w:r>
      <w:r>
        <w:t xml:space="preserve">package in R</w:t>
      </w:r>
      <w:r>
        <w:t xml:space="preserve"> </w:t>
      </w:r>
      <w:r>
        <w:t xml:space="preserve">(</w:t>
      </w:r>
      <w:r>
        <w:rPr>
          <w:b/>
        </w:rPr>
        <w:t xml:space="preserve">???</w:t>
      </w:r>
      <w:r>
        <w:t xml:space="preserve">)</w:t>
      </w:r>
      <w:r>
        <w:t xml:space="preserve">. We simulated four populations, using two/three? different mutation rates (theta= 2 and theta=10), and also considering populations with or without growth. The growth rate was modified in order to achieve a Tajima's D value that better approximates the values observed in nature for marine invertebrates.</w:t>
      </w:r>
    </w:p>
    <w:p>
      <w:r>
        <w:t xml:space="preserve">From these four populations, we took "field samples" of different sizes (n), sampling without replacement. We replicate the sampling experiment 100 times, to be able to assess variation of sampling. For each replicate, we calculate the number of haplotypes and the number of segregating sites, which represent our observed values in the simulated samples. The sampling size, that it is known to us from this design, is what we are going to try to predict using the back calculations described above. All the analysis of the simulated populations was done in R</w:t>
      </w:r>
      <w:r>
        <w:t xml:space="preserve"> </w:t>
      </w:r>
      <w:r>
        <w:t xml:space="preserve">(</w:t>
      </w:r>
      <w:r>
        <w:rPr>
          <w:b/>
        </w:rPr>
        <w:t xml:space="preserve">???</w:t>
      </w:r>
      <w:r>
        <w:t xml:space="preserve">)</w:t>
      </w:r>
      <w:r>
        <w:t xml:space="preserve">. Detailed information on simulations and R code is presented in the supplementary material (for now in file "runningSimulations".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So new structure of paper we think: show that haplotypes are the defined minimum number of individuals, this is the dumb but easy and factual way. Then the gamma distribution, which is a shot in the dark, makes sense but parameterization is hard to think about. Then the 'smart' coalescent way, but we figure out it is not very sensitive.</w:t>
      </w:r>
    </w:p>
    <w:p>
      <w:r>
        <w:t xml:space="preserve">And then part B of Results would be that we show empirical values of #haplotypes for samples of n given theta, identify whether this helps us parameterize the slightly-smarter approach. We may also ponder the mathematical relationship between theta and hapdiv, but of course for a given theta (truth) there is a range of theta (estimated from empirical) and a range of hapdiv (estimated from empirical)</w:t>
      </w:r>
    </w:p>
    <w:p>
      <w:pPr>
        <w:pStyle w:val="Heading1"/>
      </w:pPr>
      <w:bookmarkStart w:id="30" w:name="results"/>
      <w:bookmarkEnd w:id="30"/>
      <w:r>
        <w:t xml:space="preserve">Results</w:t>
      </w:r>
    </w:p>
    <w:p>
      <w:r>
        <w:t xml:space="preserve">The general information of the simulated populations is presented in Table 1. As expected, the haplotype diversity, number of haplotypes and number of segregating sites are higher in the two populations with theta=10. The the populations that included a growth parameter achieved a negative Tajima's D, that reflects better the natural population in many invertebrates (Wares cite,</w:t>
      </w:r>
      <w:r>
        <w:t xml:space="preserve"> </w:t>
      </w:r>
      <w:r>
        <w:rPr>
          <w:i/>
        </w:rPr>
        <w:t xml:space="preserve">John can we generalize what happen to marine invertebrates, or this phenomenon has also been observed in other terrestrial invertebrates?</w:t>
      </w:r>
      <w:r>
        <w:t xml:space="preserve">)</w:t>
      </w:r>
    </w:p>
    <w:p>
      <w:pPr>
        <w:pStyle w:val="SourceCode"/>
      </w:pPr>
      <w:r>
        <w:rPr>
          <w:rStyle w:val="VerbatimChar"/>
        </w:rPr>
        <w:t xml:space="preserve">## gap version 1.1-16</w:t>
      </w:r>
    </w:p>
    <w:p>
      <w:r>
        <w:t xml:space="preserve">| : | : | 100 % |==================================================== | : | : | 100 % |==================================================== | : | : | 100 % |==================================================== | : | : | 100 % |==================================================== | : | : | 100 % |==================================================== | : | : | 100 % |==================================================== nucleotide | : | : | 100 % |==================================================== haplotype | : | : | 100 % |====================================================nucleotide | : | : | 100 % |==================================================== haplotype | : | : | 100 % |====================================================nucleotide | : | : | 100 % |==================================================== haplotype | : | : | 100 % |====================================================nucleotide | : | : | 100 % |==================================================== haplotype | : | : | 100 % |====================================================nucleotide | : | : | 100 % |==================================================== haplotype | : | : | 100 % |====================================================nucleotide | : | : | 100 % |==================================================== haplotype | : | : | 100 % |====================================================| : | : | 100 % |====================================================| : | : | 100 % |====================================================| : | : | 100 % |====================================================| : | : | 100 % |====================================================| : | : | 100 % |====================================================| : | : | 100 % |====================================================</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Growth</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Tajima's D</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yes</w:t>
            </w:r>
          </w:p>
        </w:tc>
        <w:tc>
          <w:p>
            <w:pPr>
              <w:pStyle w:val="Compact"/>
              <w:jc w:val="left"/>
            </w:pPr>
            <w:r>
              <w:t xml:space="preserve">0.55</w:t>
            </w:r>
          </w:p>
        </w:tc>
        <w:tc>
          <w:p>
            <w:pPr>
              <w:pStyle w:val="Compact"/>
              <w:jc w:val="left"/>
            </w:pPr>
            <w:r>
              <w:t xml:space="preserve">-1.05</w:t>
            </w:r>
          </w:p>
        </w:tc>
        <w:tc>
          <w:p>
            <w:pPr>
              <w:pStyle w:val="Compact"/>
              <w:jc w:val="left"/>
            </w:pPr>
            <w:r>
              <w:t xml:space="preserve">12</w:t>
            </w:r>
          </w:p>
        </w:tc>
        <w:tc>
          <w:p>
            <w:pPr>
              <w:pStyle w:val="Compact"/>
              <w:jc w:val="left"/>
            </w:pPr>
            <w:r>
              <w:t xml:space="preserve">13</w:t>
            </w:r>
          </w:p>
        </w:tc>
      </w:tr>
      <w:tr>
        <w:tc>
          <w:p>
            <w:pPr>
              <w:pStyle w:val="Compact"/>
              <w:jc w:val="left"/>
            </w:pPr>
            <w:r>
              <w:t xml:space="preserve">Population 2</w:t>
            </w:r>
          </w:p>
        </w:tc>
        <w:tc>
          <w:p>
            <w:pPr>
              <w:pStyle w:val="Compact"/>
              <w:jc w:val="left"/>
            </w:pPr>
            <w:r>
              <w:t xml:space="preserve">2</w:t>
            </w:r>
          </w:p>
        </w:tc>
        <w:tc>
          <w:p>
            <w:pPr>
              <w:pStyle w:val="Compact"/>
              <w:jc w:val="left"/>
            </w:pPr>
            <w:r>
              <w:t xml:space="preserve">no</w:t>
            </w:r>
          </w:p>
        </w:tc>
        <w:tc>
          <w:p>
            <w:pPr>
              <w:pStyle w:val="Compact"/>
              <w:jc w:val="left"/>
            </w:pPr>
            <w:r>
              <w:t xml:space="preserve">0.34</w:t>
            </w:r>
          </w:p>
        </w:tc>
        <w:tc>
          <w:p>
            <w:pPr>
              <w:pStyle w:val="Compact"/>
              <w:jc w:val="left"/>
            </w:pPr>
            <w:r>
              <w:t xml:space="preserve">0.26</w:t>
            </w:r>
          </w:p>
        </w:tc>
        <w:tc>
          <w:p>
            <w:pPr>
              <w:pStyle w:val="Compact"/>
              <w:jc w:val="left"/>
            </w:pPr>
            <w:r>
              <w:t xml:space="preserve">11</w:t>
            </w:r>
          </w:p>
        </w:tc>
        <w:tc>
          <w:p>
            <w:pPr>
              <w:pStyle w:val="Compact"/>
              <w:jc w:val="left"/>
            </w:pPr>
            <w:r>
              <w:t xml:space="preserve">12</w:t>
            </w:r>
          </w:p>
        </w:tc>
      </w:tr>
      <w:tr>
        <w:tc>
          <w:p>
            <w:pPr>
              <w:pStyle w:val="Compact"/>
              <w:jc w:val="left"/>
            </w:pPr>
            <w:r>
              <w:t xml:space="preserve">Population 3</w:t>
            </w:r>
          </w:p>
        </w:tc>
        <w:tc>
          <w:p>
            <w:pPr>
              <w:pStyle w:val="Compact"/>
              <w:jc w:val="left"/>
            </w:pPr>
            <w:r>
              <w:t xml:space="preserve">10</w:t>
            </w:r>
          </w:p>
        </w:tc>
        <w:tc>
          <w:p>
            <w:pPr>
              <w:pStyle w:val="Compact"/>
              <w:jc w:val="left"/>
            </w:pPr>
            <w:r>
              <w:t xml:space="preserve">yes</w:t>
            </w:r>
          </w:p>
        </w:tc>
        <w:tc>
          <w:p>
            <w:pPr>
              <w:pStyle w:val="Compact"/>
              <w:jc w:val="left"/>
            </w:pPr>
            <w:r>
              <w:t xml:space="preserve">0.89</w:t>
            </w:r>
          </w:p>
        </w:tc>
        <w:tc>
          <w:p>
            <w:pPr>
              <w:pStyle w:val="Compact"/>
              <w:jc w:val="left"/>
            </w:pPr>
            <w:r>
              <w:t xml:space="preserve">-1.05</w:t>
            </w:r>
          </w:p>
        </w:tc>
        <w:tc>
          <w:p>
            <w:pPr>
              <w:pStyle w:val="Compact"/>
              <w:jc w:val="left"/>
            </w:pPr>
            <w:r>
              <w:t xml:space="preserve">39</w:t>
            </w:r>
          </w:p>
        </w:tc>
        <w:tc>
          <w:p>
            <w:pPr>
              <w:pStyle w:val="Compact"/>
              <w:jc w:val="left"/>
            </w:pPr>
            <w:r>
              <w:t xml:space="preserve">51</w:t>
            </w:r>
          </w:p>
        </w:tc>
      </w:tr>
      <w:tr>
        <w:tc>
          <w:p>
            <w:pPr>
              <w:pStyle w:val="Compact"/>
              <w:jc w:val="left"/>
            </w:pPr>
            <w:r>
              <w:t xml:space="preserve">Population 4</w:t>
            </w:r>
          </w:p>
        </w:tc>
        <w:tc>
          <w:p>
            <w:pPr>
              <w:pStyle w:val="Compact"/>
              <w:jc w:val="left"/>
            </w:pPr>
            <w:r>
              <w:t xml:space="preserve">10</w:t>
            </w:r>
          </w:p>
        </w:tc>
        <w:tc>
          <w:p>
            <w:pPr>
              <w:pStyle w:val="Compact"/>
              <w:jc w:val="left"/>
            </w:pPr>
            <w:r>
              <w:t xml:space="preserve">no</w:t>
            </w:r>
          </w:p>
        </w:tc>
        <w:tc>
          <w:p>
            <w:pPr>
              <w:pStyle w:val="Compact"/>
              <w:jc w:val="left"/>
            </w:pPr>
            <w:r>
              <w:t xml:space="preserve">0.93</w:t>
            </w:r>
          </w:p>
        </w:tc>
        <w:tc>
          <w:p>
            <w:pPr>
              <w:pStyle w:val="Compact"/>
              <w:jc w:val="left"/>
            </w:pPr>
            <w:r>
              <w:t xml:space="preserve">0.26</w:t>
            </w:r>
          </w:p>
        </w:tc>
        <w:tc>
          <w:p>
            <w:pPr>
              <w:pStyle w:val="Compact"/>
              <w:jc w:val="left"/>
            </w:pPr>
            <w:r>
              <w:t xml:space="preserve">47</w:t>
            </w:r>
          </w:p>
        </w:tc>
        <w:tc>
          <w:p>
            <w:pPr>
              <w:pStyle w:val="Compact"/>
              <w:jc w:val="left"/>
            </w:pPr>
            <w:r>
              <w:t xml:space="preserve">71</w:t>
            </w:r>
          </w:p>
        </w:tc>
      </w:tr>
      <w:tr>
        <w:tc>
          <w:p>
            <w:pPr>
              <w:pStyle w:val="Compact"/>
              <w:jc w:val="left"/>
            </w:pPr>
            <w:r>
              <w:t xml:space="preserve">Population 5</w:t>
            </w:r>
          </w:p>
        </w:tc>
        <w:tc>
          <w:p>
            <w:pPr>
              <w:pStyle w:val="Compact"/>
              <w:jc w:val="left"/>
            </w:pPr>
            <w:r>
              <w:t xml:space="preserve">20</w:t>
            </w:r>
          </w:p>
        </w:tc>
        <w:tc>
          <w:p>
            <w:pPr>
              <w:pStyle w:val="Compact"/>
              <w:jc w:val="left"/>
            </w:pPr>
            <w:r>
              <w:t xml:space="preserve">yes</w:t>
            </w:r>
          </w:p>
        </w:tc>
        <w:tc>
          <w:p>
            <w:pPr>
              <w:pStyle w:val="Compact"/>
              <w:jc w:val="left"/>
            </w:pPr>
            <w:r>
              <w:t xml:space="preserve">0.76</w:t>
            </w:r>
          </w:p>
        </w:tc>
        <w:tc>
          <w:p>
            <w:pPr>
              <w:pStyle w:val="Compact"/>
              <w:jc w:val="left"/>
            </w:pPr>
            <w:r>
              <w:t xml:space="preserve">-1.59</w:t>
            </w:r>
          </w:p>
        </w:tc>
        <w:tc>
          <w:p>
            <w:pPr>
              <w:pStyle w:val="Compact"/>
              <w:jc w:val="left"/>
            </w:pPr>
            <w:r>
              <w:t xml:space="preserve">37</w:t>
            </w:r>
          </w:p>
        </w:tc>
        <w:tc>
          <w:p>
            <w:pPr>
              <w:pStyle w:val="Compact"/>
              <w:jc w:val="left"/>
            </w:pPr>
            <w:r>
              <w:t xml:space="preserve">40</w:t>
            </w:r>
          </w:p>
        </w:tc>
      </w:tr>
      <w:tr>
        <w:tc>
          <w:p>
            <w:pPr>
              <w:pStyle w:val="Compact"/>
              <w:jc w:val="left"/>
            </w:pPr>
            <w:r>
              <w:t xml:space="preserve">Population 6</w:t>
            </w:r>
          </w:p>
        </w:tc>
        <w:tc>
          <w:p>
            <w:pPr>
              <w:pStyle w:val="Compact"/>
              <w:jc w:val="left"/>
            </w:pPr>
            <w:r>
              <w:t xml:space="preserve">20</w:t>
            </w:r>
          </w:p>
        </w:tc>
        <w:tc>
          <w:p>
            <w:pPr>
              <w:pStyle w:val="Compact"/>
              <w:jc w:val="left"/>
            </w:pPr>
            <w:r>
              <w:t xml:space="preserve">no</w:t>
            </w:r>
          </w:p>
        </w:tc>
        <w:tc>
          <w:p>
            <w:pPr>
              <w:pStyle w:val="Compact"/>
              <w:jc w:val="left"/>
            </w:pPr>
            <w:r>
              <w:t xml:space="preserve">0.96</w:t>
            </w:r>
          </w:p>
        </w:tc>
        <w:tc>
          <w:p>
            <w:pPr>
              <w:pStyle w:val="Compact"/>
              <w:jc w:val="left"/>
            </w:pPr>
            <w:r>
              <w:t xml:space="preserve">1.13</w:t>
            </w:r>
          </w:p>
        </w:tc>
        <w:tc>
          <w:p>
            <w:pPr>
              <w:pStyle w:val="Compact"/>
              <w:jc w:val="left"/>
            </w:pPr>
            <w:r>
              <w:t xml:space="preserve">79</w:t>
            </w:r>
          </w:p>
        </w:tc>
        <w:tc>
          <w:p>
            <w:pPr>
              <w:pStyle w:val="Compact"/>
              <w:jc w:val="left"/>
            </w:pPr>
            <w:r>
              <w:t xml:space="preserve">164</w:t>
            </w:r>
          </w:p>
        </w:tc>
      </w:tr>
    </w:tbl>
    <w:p>
      <w:r>
        <w:t xml:space="preserve">Using information from the samples of the 4 simulated populations, We first corroborated that the observed number of haplotypes sets the minimum number of individuals present (for a haploid mitochondrial marker). We observed that the sample size is always equal or larger than the minimum number of haplotypes (Figure X1, solid line represents x=y, colors represent the different populations).</w:t>
      </w:r>
    </w:p>
    <w:p>
      <w:r>
        <w:drawing>
          <wp:inline>
            <wp:extent cx="5440680" cy="4352544"/>
            <wp:effectExtent b="0" l="0" r="0" t="0"/>
            <wp:docPr descr="" id="1" name="Picture"/>
            <a:graphic>
              <a:graphicData uri="http://schemas.openxmlformats.org/drawingml/2006/picture">
                <pic:pic>
                  <pic:nvPicPr>
                    <pic:cNvPr descr="QuBar_7Jul2015_files/figure-docx/figure%20X1-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2" w:name="gamma-approach-1"/>
      <w:bookmarkEnd w:id="32"/>
      <w:r>
        <w:t xml:space="preserve">Gamma approach</w:t>
      </w:r>
    </w:p>
    <w:p>
      <w:r>
        <w:t xml:space="preserve">We found that the gamma approach better approximates the simulated sampling sizes in low sampling sizes (Figure X2a, lower than 16-32 depending the population) and when theta is larger (theta=10, Figure X2b). The effect of growth was different in the population with different thetas: in theta=2 the population with growth does a little bit better, in tetha=10 the population without growth approximates more close the observed sampling sizes (Figure X2b). But overall, the gamma method really underestimates the simulated n for larger sample sizes (Figure X2a). The probability distributions for the four populations and the 7 sampling sizes considered (2,4,8,16,32,64 and 128) are presented in the Supplementary material.</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now we have the dataframe "gammaData" with all the values we need to plot</w:t>
      </w:r>
      <w:r>
        <w:br w:type="textWrapping"/>
      </w:r>
      <w:r>
        <w:rPr>
          <w:rStyle w:val="NormalTok"/>
        </w:rPr>
        <w:t xml:space="preserve">gammaData&lt;-</w:t>
      </w:r>
      <w:r>
        <w:rPr>
          <w:rStyle w:val="KeywordTok"/>
        </w:rPr>
        <w:t xml:space="preserve">read.csv</w:t>
      </w:r>
      <w:r>
        <w:rPr>
          <w:rStyle w:val="NormalTok"/>
        </w:rPr>
        <w:t xml:space="preserve">(</w:t>
      </w:r>
      <w:r>
        <w:rPr>
          <w:rStyle w:val="StringTok"/>
        </w:rPr>
        <w:t xml:space="preserve">"gammaData.csv"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subsetting small sampling sizes to see better what happen there</w:t>
      </w:r>
      <w:r>
        <w:br w:type="textWrapping"/>
      </w:r>
      <w:r>
        <w:rPr>
          <w:rStyle w:val="NormalTok"/>
        </w:rPr>
        <w:t xml:space="preserve">minigamma&lt;-gammaData[gammaData$samplingSize&lt;</w:t>
      </w:r>
      <w:r>
        <w:rPr>
          <w:rStyle w:val="DecValTok"/>
        </w:rPr>
        <w:t xml:space="preserve">33</w:t>
      </w:r>
      <w:r>
        <w:rPr>
          <w:rStyle w:val="NormalTok"/>
        </w:rPr>
        <w:t xml:space="preserve">,]</w:t>
      </w:r>
      <w:r>
        <w:br w:type="textWrapping"/>
      </w:r>
      <w:r>
        <w:br w:type="textWrapping"/>
      </w:r>
      <w:r>
        <w:rPr>
          <w:rStyle w:val="CommentTok"/>
        </w:rPr>
        <w:t xml:space="preserve"># making factors for the ggplot2 pltos</w:t>
      </w:r>
      <w:r>
        <w:br w:type="textWrapping"/>
      </w:r>
      <w:r>
        <w:rPr>
          <w:rStyle w:val="KeywordTok"/>
        </w:rPr>
        <w:t xml:space="preserve">factor</w:t>
      </w:r>
      <w:r>
        <w:rPr>
          <w:rStyle w:val="NormalTok"/>
        </w:rPr>
        <w:t xml:space="preserve">(gammaData$Pop)-&gt;gammaData$pops</w:t>
      </w:r>
      <w:r>
        <w:br w:type="textWrapping"/>
      </w:r>
      <w:r>
        <w:rPr>
          <w:rStyle w:val="KeywordTok"/>
        </w:rPr>
        <w:t xml:space="preserve">factor</w:t>
      </w:r>
      <w:r>
        <w:rPr>
          <w:rStyle w:val="NormalTok"/>
        </w:rPr>
        <w:t xml:space="preserve">(minigamma$Pop)-&gt;minigamma$minipops</w:t>
      </w:r>
      <w:r>
        <w:br w:type="textWrapping"/>
      </w:r>
      <w:r>
        <w:rPr>
          <w:rStyle w:val="KeywordTok"/>
        </w:rPr>
        <w:t xml:space="preserve">factor</w:t>
      </w:r>
      <w:r>
        <w:rPr>
          <w:rStyle w:val="NormalTok"/>
        </w:rPr>
        <w:t xml:space="preserve">(minigamma$samplingSize)-&gt;minigamma$samplingSizeF</w:t>
      </w:r>
      <w:r>
        <w:br w:type="textWrapping"/>
      </w:r>
      <w:r>
        <w:br w:type="textWrapping"/>
      </w:r>
      <w:r>
        <w:rPr>
          <w:rStyle w:val="CommentTok"/>
        </w:rPr>
        <w:t xml:space="preserve"># plotting with ggplot, need to fix legends</w:t>
      </w:r>
      <w:r>
        <w:br w:type="textWrapping"/>
      </w:r>
      <w:r>
        <w:rPr>
          <w:rStyle w:val="CommentTok"/>
        </w:rPr>
        <w:t xml:space="preserve">#http://www.cookbook-r.com/Graphs/Legends_(ggplot2)/</w:t>
      </w:r>
      <w:r>
        <w:br w:type="textWrapping"/>
      </w:r>
      <w:r>
        <w:rPr>
          <w:rStyle w:val="CommentTok"/>
        </w:rPr>
        <w:t xml:space="preserve"># Fig X2a</w:t>
      </w:r>
      <w:r>
        <w:br w:type="textWrapping"/>
      </w:r>
      <w:r>
        <w:rPr>
          <w:rStyle w:val="KeywordTok"/>
        </w:rPr>
        <w:t xml:space="preserve">ggplot</w:t>
      </w:r>
      <w:r>
        <w:rPr>
          <w:rStyle w:val="NormalTok"/>
        </w:rPr>
        <w:t xml:space="preserve">(gammaData,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w:t>
      </w:r>
      <w:r>
        <w:rPr>
          <w:rStyle w:val="DataTypeTok"/>
        </w:rPr>
        <w:t xml:space="preserve">y=</w:t>
      </w:r>
      <w:r>
        <w:rPr>
          <w:rStyle w:val="NormalTok"/>
        </w:rPr>
        <w:t xml:space="preserve">Max.Gamma.value,</w:t>
      </w:r>
      <w:r>
        <w:rPr>
          <w:rStyle w:val="DataTypeTok"/>
        </w:rPr>
        <w:t xml:space="preserve">fill=</w:t>
      </w:r>
      <w:r>
        <w:rPr>
          <w:rStyle w:val="NormalTok"/>
        </w:rPr>
        <w:t xml:space="preserve">pops,</w:t>
      </w:r>
      <w:r>
        <w:rPr>
          <w:rStyle w:val="DataTypeTok"/>
        </w:rPr>
        <w:t xml:space="preserve">color=</w:t>
      </w:r>
      <w:r>
        <w:rPr>
          <w:rStyle w:val="NormalTok"/>
        </w:rPr>
        <w:t xml:space="preserve">pops)) +</w:t>
      </w:r>
      <w:r>
        <w:rPr>
          <w:rStyle w:val="StringTok"/>
        </w:rPr>
        <w:t xml:space="preserve"> </w:t>
      </w:r>
      <w:r>
        <w:rPr>
          <w:rStyle w:val="KeywordTok"/>
        </w:rPr>
        <w:t xml:space="preserve">geom_point</w:t>
      </w:r>
      <w:r>
        <w:rPr>
          <w:rStyle w:val="Normal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w:t>
      </w:r>
      <w:r>
        <w:rPr>
          <w:rStyle w:val="KeywordTok"/>
        </w:rPr>
        <w:t xml:space="preserve">geom_abline</w:t>
      </w:r>
      <w:r>
        <w:rPr>
          <w:rStyle w:val="NormalTok"/>
        </w:rPr>
        <w:t xml:space="preserve">()+</w:t>
      </w:r>
      <w:r>
        <w:rPr>
          <w:rStyle w:val="KeywordTok"/>
        </w:rPr>
        <w:t xml:space="preserve">scale_fill_discrete</w:t>
      </w:r>
      <w:r>
        <w:rPr>
          <w:rStyle w:val="NormalTok"/>
        </w:rPr>
        <w:t xml:space="preserve">(</w:t>
      </w:r>
      <w:r>
        <w:rPr>
          <w:rStyle w:val="DataTypeTok"/>
        </w:rPr>
        <w:t xml:space="preserve">name=</w:t>
      </w:r>
      <w:r>
        <w:rPr>
          <w:rStyle w:val="StringTok"/>
        </w:rPr>
        <w:t xml:space="preserve">"Populations"</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"Pop1"</w:t>
      </w:r>
      <w:r>
        <w:rPr>
          <w:rStyle w:val="NormalTok"/>
        </w:rPr>
        <w:t xml:space="preserve">,</w:t>
      </w:r>
      <w:r>
        <w:rPr>
          <w:rStyle w:val="StringTok"/>
        </w:rPr>
        <w:t xml:space="preserve">"Pop2"</w:t>
      </w:r>
      <w:r>
        <w:rPr>
          <w:rStyle w:val="NormalTok"/>
        </w:rPr>
        <w:t xml:space="preserve">,</w:t>
      </w:r>
      <w:r>
        <w:rPr>
          <w:rStyle w:val="StringTok"/>
        </w:rPr>
        <w:t xml:space="preserve">"Pop3"</w:t>
      </w:r>
      <w:r>
        <w:rPr>
          <w:rStyle w:val="NormalTok"/>
        </w:rPr>
        <w:t xml:space="preserve">,</w:t>
      </w:r>
      <w:r>
        <w:rPr>
          <w:rStyle w:val="StringTok"/>
        </w:rPr>
        <w:t xml:space="preserve">"Pop4"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"Theta=2g"</w:t>
      </w:r>
      <w:r>
        <w:rPr>
          <w:rStyle w:val="NormalTok"/>
        </w:rPr>
        <w:t xml:space="preserve">, </w:t>
      </w:r>
      <w:r>
        <w:rPr>
          <w:rStyle w:val="StringTok"/>
        </w:rPr>
        <w:t xml:space="preserve">"Theta=2ng"</w:t>
      </w:r>
      <w:r>
        <w:rPr>
          <w:rStyle w:val="NormalTok"/>
        </w:rPr>
        <w:t xml:space="preserve">,</w:t>
      </w:r>
      <w:r>
        <w:rPr>
          <w:rStyle w:val="StringTok"/>
        </w:rPr>
        <w:t xml:space="preserve">"Theta=10g"</w:t>
      </w:r>
      <w:r>
        <w:rPr>
          <w:rStyle w:val="NormalTok"/>
        </w:rPr>
        <w:t xml:space="preserve">, </w:t>
      </w:r>
      <w:r>
        <w:rPr>
          <w:rStyle w:val="StringTok"/>
        </w:rPr>
        <w:t xml:space="preserve">"Theta=10ng"</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QuBar_7Jul2015_files/figure-docx/Figure%20X2%20gamma%20distribution%20plots-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Fig X2b</w:t>
      </w:r>
      <w:r>
        <w:br w:type="textWrapping"/>
      </w:r>
      <w:r>
        <w:rPr>
          <w:rStyle w:val="CommentTok"/>
        </w:rPr>
        <w:t xml:space="preserve"># thinking how to plot the subset of samples sizes where gamma works a little bit better....</w:t>
      </w:r>
      <w:r>
        <w:br w:type="textWrapping"/>
      </w:r>
      <w:r>
        <w:rPr>
          <w:rStyle w:val="KeywordTok"/>
        </w:rPr>
        <w:t xml:space="preserve">ggplot</w:t>
      </w:r>
      <w:r>
        <w:rPr>
          <w:rStyle w:val="NormalTok"/>
        </w:rPr>
        <w:t xml:space="preserve">(minigamma,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samplingSizeF,</w:t>
      </w:r>
      <w:r>
        <w:rPr>
          <w:rStyle w:val="DataTypeTok"/>
        </w:rPr>
        <w:t xml:space="preserve">y=</w:t>
      </w:r>
      <w:r>
        <w:rPr>
          <w:rStyle w:val="NormalTok"/>
        </w:rPr>
        <w:t xml:space="preserve">Max.Gamma.value,</w:t>
      </w:r>
      <w:r>
        <w:rPr>
          <w:rStyle w:val="DataTypeTok"/>
        </w:rPr>
        <w:t xml:space="preserve">fill=</w:t>
      </w:r>
      <w:r>
        <w:rPr>
          <w:rStyle w:val="NormalTok"/>
        </w:rPr>
        <w:t xml:space="preserve">minipops,</w:t>
      </w:r>
      <w:r>
        <w:rPr>
          <w:rStyle w:val="DataTypeTok"/>
        </w:rPr>
        <w:t xml:space="preserve">color=</w:t>
      </w:r>
      <w:r>
        <w:rPr>
          <w:rStyle w:val="NormalTok"/>
        </w:rPr>
        <w:t xml:space="preserve">minipops))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minipops))+</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Warning: Removed 352 rows containing non-finite values (stat_boxplot).</w:t>
      </w:r>
    </w:p>
    <w:p>
      <w:r>
        <w:drawing>
          <wp:inline>
            <wp:extent cx="5440680" cy="4352544"/>
            <wp:effectExtent b="0" l="0" r="0" t="0"/>
            <wp:docPr descr="" id="1" name="Picture"/>
            <a:graphic>
              <a:graphicData uri="http://schemas.openxmlformats.org/drawingml/2006/picture">
                <pic:pic>
                  <pic:nvPicPr>
                    <pic:cNvPr descr="QuBar_7Jul2015_files/figure-docx/Figure%20X2%20gamma%20distribution%20plots-2.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Paula's note: something weird is happening here when we defined shape=H and scale=number of haplotypes, the distribution of expected nubers using the gamma es identical to the empirical distribution of number of haplotypes in the simulated samples. Is the "happrob" object representing the "expected n"? the name is confusing.</w:t>
      </w:r>
    </w:p>
    <w:p>
      <w:pPr>
        <w:pStyle w:val="Heading2"/>
      </w:pPr>
      <w:bookmarkStart w:id="35" w:name="theta-and-segregating-sites-approach"/>
      <w:bookmarkEnd w:id="35"/>
      <w:r>
        <w:t xml:space="preserve">Theta and segregating sites approach</w:t>
      </w:r>
    </w:p>
    <w:p>
      <w:r>
        <w:t xml:space="preserve">The implementation of Wakeley's</w:t>
      </w:r>
      <w:r>
        <w:t xml:space="preserve"> </w:t>
      </w:r>
      <w:r>
        <w:t xml:space="preserve">(2008)</w:t>
      </w:r>
      <w:r>
        <w:t xml:space="preserve"> </w:t>
      </w:r>
      <w:r>
        <w:t xml:space="preserve">formula crushed for n larger than 50, so we were only able to test our sampling sizes of 2,4,8,16 and 32 with this method.</w:t>
      </w:r>
    </w:p>
    <w:p>
      <w:pPr>
        <w:pStyle w:val="SourceCode"/>
      </w:pPr>
      <w:r>
        <w:rPr>
          <w:rStyle w:val="CommentTok"/>
        </w:rPr>
        <w:t xml:space="preserve">#install.packages("vioplot")</w:t>
      </w:r>
      <w:r>
        <w:br w:type="textWrapping"/>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(vioplot)</w:t>
      </w:r>
    </w:p>
    <w:p>
      <w:pPr>
        <w:pStyle w:val="SourceCode"/>
      </w:pPr>
      <w:r>
        <w:rPr>
          <w:rStyle w:val="VerbatimChar"/>
        </w:rPr>
        <w:t xml:space="preserve">## Loading required package: sm</w:t>
      </w:r>
      <w:r>
        <w:br w:type="textWrapping"/>
      </w:r>
      <w:r>
        <w:rPr>
          <w:rStyle w:val="VerbatimChar"/>
        </w:rPr>
        <w:t xml:space="preserve">## Package 'sm', version 2.2-5.4: type help(sm) for summary information</w:t>
      </w:r>
    </w:p>
    <w:p>
      <w:pPr>
        <w:pStyle w:val="SourceCode"/>
      </w:pPr>
      <w:r>
        <w:rPr>
          <w:rStyle w:val="CommentTok"/>
        </w:rPr>
        <w:t xml:space="preserve"># Load Wakeley data and observed segregating sites</w:t>
      </w:r>
      <w:r>
        <w:br w:type="textWrapping"/>
      </w:r>
      <w:r>
        <w:rPr>
          <w:rStyle w:val="NormalTok"/>
        </w:rPr>
        <w:t xml:space="preserve">obsdata&lt;-</w:t>
      </w:r>
      <w:r>
        <w:rPr>
          <w:rStyle w:val="KeywordTok"/>
        </w:rPr>
        <w:t xml:space="preserve">read.csv</w:t>
      </w:r>
      <w:r>
        <w:rPr>
          <w:rStyle w:val="NormalTok"/>
        </w:rPr>
        <w:t xml:space="preserve">(</w:t>
      </w:r>
      <w:r>
        <w:rPr>
          <w:rStyle w:val="StringTok"/>
        </w:rPr>
        <w:t xml:space="preserve">"numberSegSites.csv"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wakdata&lt;-</w:t>
      </w:r>
      <w:r>
        <w:rPr>
          <w:rStyle w:val="KeywordTok"/>
        </w:rPr>
        <w:t xml:space="preserve">read.csv</w:t>
      </w:r>
      <w:r>
        <w:rPr>
          <w:rStyle w:val="NormalTok"/>
        </w:rPr>
        <w:t xml:space="preserve">(</w:t>
      </w:r>
      <w:r>
        <w:rPr>
          <w:rStyle w:val="StringTok"/>
        </w:rPr>
        <w:t xml:space="preserve">"WakeleyData.csv"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Summarize the info on observed segregating sites</w:t>
      </w:r>
      <w:r>
        <w:br w:type="textWrapping"/>
      </w:r>
      <w:r>
        <w:rPr>
          <w:rStyle w:val="NormalTok"/>
        </w:rPr>
        <w:t xml:space="preserve">infoObs&lt;-</w:t>
      </w:r>
      <w:r>
        <w:rPr>
          <w:rStyle w:val="KeywordTok"/>
        </w:rPr>
        <w:t xml:space="preserve">ddply</w:t>
      </w:r>
      <w:r>
        <w:rPr>
          <w:rStyle w:val="NormalTok"/>
        </w:rPr>
        <w:t xml:space="preserve">(obsdata, </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"samplingSize"</w:t>
      </w:r>
      <w:r>
        <w:rPr>
          <w:rStyle w:val="NormalTok"/>
        </w:rPr>
        <w:t xml:space="preserve">), summarise, </w:t>
      </w:r>
      <w:r>
        <w:rPr>
          <w:rStyle w:val="DataTypeTok"/>
        </w:rPr>
        <w:t xml:space="preserve">medianOb =</w:t>
      </w:r>
      <w:r>
        <w:rPr>
          <w:rStyle w:val="NormalTok"/>
        </w:rPr>
        <w:t xml:space="preserve"> </w:t>
      </w:r>
      <w:r>
        <w:rPr>
          <w:rStyle w:val="KeywordTok"/>
        </w:rPr>
        <w:t xml:space="preserve">median</w:t>
      </w:r>
      <w:r>
        <w:rPr>
          <w:rStyle w:val="NormalTok"/>
        </w:rPr>
        <w:t xml:space="preserve">(n.seg.sites,</w:t>
      </w:r>
      <w:r>
        <w:rPr>
          <w:rStyle w:val="DataTypeTok"/>
        </w:rPr>
        <w:t xml:space="preserve">na.rm=</w:t>
      </w:r>
      <w:r>
        <w:rPr>
          <w:rStyle w:val="NormalTok"/>
        </w:rPr>
        <w:t xml:space="preserve">T),</w:t>
      </w:r>
      <w:r>
        <w:rPr>
          <w:rStyle w:val="DataTypeTok"/>
        </w:rPr>
        <w:t xml:space="preserve">meanOb =</w:t>
      </w:r>
      <w:r>
        <w:rPr>
          <w:rStyle w:val="NormalTok"/>
        </w:rPr>
        <w:t xml:space="preserve"> </w:t>
      </w:r>
      <w:r>
        <w:rPr>
          <w:rStyle w:val="KeywordTok"/>
        </w:rPr>
        <w:t xml:space="preserve">mean</w:t>
      </w:r>
      <w:r>
        <w:rPr>
          <w:rStyle w:val="NormalTok"/>
        </w:rPr>
        <w:t xml:space="preserve">(n.seg.sites,</w:t>
      </w:r>
      <w:r>
        <w:rPr>
          <w:rStyle w:val="DataTypeTok"/>
        </w:rPr>
        <w:t xml:space="preserve">na.rm=</w:t>
      </w:r>
      <w:r>
        <w:rPr>
          <w:rStyle w:val="NormalTok"/>
        </w:rPr>
        <w:t xml:space="preserve">T),</w:t>
      </w:r>
      <w:r>
        <w:rPr>
          <w:rStyle w:val="DataTypeTok"/>
        </w:rPr>
        <w:t xml:space="preserve">quant.25=</w:t>
      </w:r>
      <w:r>
        <w:rPr>
          <w:rStyle w:val="KeywordTok"/>
        </w:rPr>
        <w:t xml:space="preserve">quantile</w:t>
      </w:r>
      <w:r>
        <w:rPr>
          <w:rStyle w:val="NormalTok"/>
        </w:rPr>
        <w:t xml:space="preserve">(n.seg.sites,</w:t>
      </w:r>
      <w:r>
        <w:rPr>
          <w:rStyle w:val="FloatTok"/>
        </w:rPr>
        <w:t xml:space="preserve">0.25</w:t>
      </w:r>
      <w:r>
        <w:rPr>
          <w:rStyle w:val="NormalTok"/>
        </w:rPr>
        <w:t xml:space="preserve">),</w:t>
      </w:r>
      <w:r>
        <w:rPr>
          <w:rStyle w:val="DataTypeTok"/>
        </w:rPr>
        <w:t xml:space="preserve">quant.75=</w:t>
      </w:r>
      <w:r>
        <w:rPr>
          <w:rStyle w:val="KeywordTok"/>
        </w:rPr>
        <w:t xml:space="preserve">quantile</w:t>
      </w:r>
      <w:r>
        <w:rPr>
          <w:rStyle w:val="NormalTok"/>
        </w:rPr>
        <w:t xml:space="preserve">(n.seg.sites,</w:t>
      </w:r>
      <w:r>
        <w:rPr>
          <w:rStyle w:val="FloatTok"/>
        </w:rPr>
        <w:t xml:space="preserve">0.75</w:t>
      </w:r>
      <w:r>
        <w:rPr>
          <w:rStyle w:val="NormalTok"/>
        </w:rPr>
        <w:t xml:space="preserve">))</w:t>
      </w:r>
      <w:r>
        <w:br w:type="textWrapping"/>
      </w:r>
      <w:r>
        <w:br w:type="textWrapping"/>
      </w:r>
      <w:r>
        <w:rPr>
          <w:rStyle w:val="CommentTok"/>
        </w:rPr>
        <w:t xml:space="preserve"># keep only the n&lt;=32</w:t>
      </w:r>
      <w:r>
        <w:br w:type="textWrapping"/>
      </w:r>
      <w:r>
        <w:rPr>
          <w:rStyle w:val="NormalTok"/>
        </w:rPr>
        <w:t xml:space="preserve">miniObs&lt;-infoObs[</w:t>
      </w:r>
      <w:r>
        <w:rPr>
          <w:rStyle w:val="KeywordTok"/>
        </w:rPr>
        <w:t xml:space="preserve">which</w:t>
      </w:r>
      <w:r>
        <w:rPr>
          <w:rStyle w:val="NormalTok"/>
        </w:rPr>
        <w:t xml:space="preserve">(infoObs$samplingSize&lt;</w:t>
      </w:r>
      <w:r>
        <w:rPr>
          <w:rStyle w:val="DecValTok"/>
        </w:rPr>
        <w:t xml:space="preserve">33</w:t>
      </w:r>
      <w:r>
        <w:rPr>
          <w:rStyle w:val="NormalTok"/>
        </w:rPr>
        <w:t xml:space="preserve">),]</w:t>
      </w:r>
      <w:r>
        <w:br w:type="textWrapping"/>
      </w:r>
      <w:r>
        <w:br w:type="textWrapping"/>
      </w:r>
      <w:r>
        <w:rPr>
          <w:rStyle w:val="CommentTok"/>
        </w:rPr>
        <w:t xml:space="preserve"># Summarize Wakeley's info </w:t>
      </w:r>
      <w:r>
        <w:br w:type="textWrapping"/>
      </w:r>
      <w:r>
        <w:rPr>
          <w:rStyle w:val="NormalTok"/>
        </w:rPr>
        <w:t xml:space="preserve">miniwak&lt;-wakdata[</w:t>
      </w:r>
      <w:r>
        <w:rPr>
          <w:rStyle w:val="KeywordTok"/>
        </w:rPr>
        <w:t xml:space="preserve">which</w:t>
      </w:r>
      <w:r>
        <w:rPr>
          <w:rStyle w:val="NormalTok"/>
        </w:rPr>
        <w:t xml:space="preserve">(wakdata$n&lt;</w:t>
      </w:r>
      <w:r>
        <w:rPr>
          <w:rStyle w:val="DecValTok"/>
        </w:rPr>
        <w:t xml:space="preserve">33</w:t>
      </w:r>
      <w:r>
        <w:rPr>
          <w:rStyle w:val="NormalTok"/>
        </w:rPr>
        <w:t xml:space="preserve">),]</w:t>
      </w:r>
      <w:r>
        <w:br w:type="textWrapping"/>
      </w:r>
      <w:r>
        <w:br w:type="textWrapping"/>
      </w:r>
      <w:r>
        <w:rPr>
          <w:rStyle w:val="CommentTok"/>
        </w:rPr>
        <w:t xml:space="preserve">#----make loop to find the best n's-----</w:t>
      </w:r>
      <w:r>
        <w:br w:type="textWrapping"/>
      </w:r>
      <w:r>
        <w:rPr>
          <w:rStyle w:val="NormalTok"/>
        </w:rPr>
        <w:t xml:space="preserve">thetas&lt;-</w:t>
      </w:r>
      <w:r>
        <w:rPr>
          <w:rStyle w:val="KeywordTok"/>
        </w:rPr>
        <w:t xml:space="preserve">c</w:t>
      </w:r>
      <w:r>
        <w:rPr>
          <w:rStyle w:val="NormalTok"/>
        </w:rPr>
        <w:t xml:space="preserve">(</w:t>
      </w:r>
      <w:r>
        <w:rPr>
          <w:rStyle w:val="StringTok"/>
        </w:rPr>
        <w:t xml:space="preserve">"two"</w:t>
      </w:r>
      <w:r>
        <w:rPr>
          <w:rStyle w:val="NormalTok"/>
        </w:rPr>
        <w:t xml:space="preserve">,</w:t>
      </w:r>
      <w:r>
        <w:rPr>
          <w:rStyle w:val="StringTok"/>
        </w:rPr>
        <w:t xml:space="preserve">"ten"</w:t>
      </w:r>
      <w:r>
        <w:rPr>
          <w:rStyle w:val="NormalTok"/>
        </w:rPr>
        <w:t xml:space="preserve">,</w:t>
      </w:r>
      <w:r>
        <w:rPr>
          <w:rStyle w:val="StringTok"/>
        </w:rPr>
        <w:t xml:space="preserve">"twenty"</w:t>
      </w:r>
      <w:r>
        <w:rPr>
          <w:rStyle w:val="NormalTok"/>
        </w:rPr>
        <w:t xml:space="preserve">)</w:t>
      </w:r>
      <w:r>
        <w:br w:type="textWrapping"/>
      </w:r>
      <w:r>
        <w:rPr>
          <w:rStyle w:val="NormalTok"/>
        </w:rPr>
        <w:t xml:space="preserve">a&lt;-</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"two"</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"ten"</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"twenty"</w:t>
      </w:r>
      <w:r>
        <w:rPr>
          <w:rStyle w:val="NormalTok"/>
        </w:rPr>
        <w:t xml:space="preserve">,</w:t>
      </w:r>
      <w:r>
        <w:rPr>
          <w:rStyle w:val="DecValTok"/>
        </w:rPr>
        <w:t xml:space="preserve">135</w:t>
      </w:r>
      <w:r>
        <w:rPr>
          <w:rStyle w:val="NormalTok"/>
        </w:rPr>
        <w:t xml:space="preserve">))</w:t>
      </w:r>
      <w:r>
        <w:br w:type="textWrapping"/>
      </w:r>
      <w:r>
        <w:rPr>
          <w:rStyle w:val="NormalTok"/>
        </w:rPr>
        <w:t xml:space="preserve">b&lt;-</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br w:type="textWrapping"/>
      </w:r>
      <w:r>
        <w:rPr>
          <w:rStyle w:val="NormalTok"/>
        </w:rPr>
        <w:t xml:space="preserve">goodwak&lt;-</w:t>
      </w:r>
      <w:r>
        <w:rPr>
          <w:rStyle w:val="KeywordTok"/>
        </w:rPr>
        <w:t xml:space="preserve">as.data.frame</w:t>
      </w:r>
      <w:r>
        <w:rPr>
          <w:rStyle w:val="NormalTok"/>
        </w:rPr>
        <w:t xml:space="preserve">(</w:t>
      </w:r>
      <w:r>
        <w:rPr>
          <w:rStyle w:val="KeywordTok"/>
        </w:rPr>
        <w:t xml:space="preserve">cbind</w:t>
      </w:r>
      <w:r>
        <w:rPr>
          <w:rStyle w:val="NormalTok"/>
        </w:rPr>
        <w:t xml:space="preserve">(a,b))</w:t>
      </w:r>
      <w:r>
        <w:br w:type="textWrapping"/>
      </w:r>
      <w:r>
        <w:rPr>
          <w:rStyle w:val="KeywordTok"/>
        </w:rPr>
        <w:t xml:space="preserve">names</w:t>
      </w:r>
      <w:r>
        <w:rPr>
          <w:rStyle w:val="NormalTok"/>
        </w:rPr>
        <w:t xml:space="preserve">(goodwak)&lt;-</w:t>
      </w:r>
      <w:r>
        <w:rPr>
          <w:rStyle w:val="KeywordTok"/>
        </w:rPr>
        <w:t xml:space="preserve">c</w:t>
      </w:r>
      <w:r>
        <w:rPr>
          <w:rStyle w:val="NormalTok"/>
        </w:rPr>
        <w:t xml:space="preserve">(</w:t>
      </w:r>
      <w:r>
        <w:rPr>
          <w:rStyle w:val="StringTok"/>
        </w:rPr>
        <w:t xml:space="preserve">"theta"</w:t>
      </w:r>
      <w:r>
        <w:rPr>
          <w:rStyle w:val="NormalTok"/>
        </w:rPr>
        <w:t xml:space="preserve">,</w:t>
      </w:r>
      <w:r>
        <w:rPr>
          <w:rStyle w:val="StringTok"/>
        </w:rPr>
        <w:t xml:space="preserve">"seg.sites"</w:t>
      </w:r>
      <w:r>
        <w:rPr>
          <w:rStyle w:val="NormalTok"/>
        </w:rPr>
        <w:t xml:space="preserve">)</w:t>
      </w:r>
      <w:r>
        <w:br w:type="textWrapping"/>
      </w:r>
      <w:r>
        <w:br w:type="textWrapping"/>
      </w:r>
      <w:r>
        <w:rPr>
          <w:rStyle w:val="NormalTok"/>
        </w:rPr>
        <w:t xml:space="preserve">for(i in thetas){</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(goodwak)){ </w:t>
      </w:r>
      <w:r>
        <w:rPr>
          <w:rStyle w:val="CommentTok"/>
        </w:rPr>
        <w:t xml:space="preserve">#Paula this wasn't working should 'mydata' be 'goodwak'??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goodwak$seg.sites[j]-&gt;mysegsite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mysubset&lt;-</w:t>
      </w:r>
      <w:r>
        <w:rPr>
          <w:rStyle w:val="KeywordTok"/>
        </w:rPr>
        <w:t xml:space="preserve">subset</w:t>
      </w:r>
      <w:r>
        <w:rPr>
          <w:rStyle w:val="NormalTok"/>
        </w:rPr>
        <w:t xml:space="preserve">(miniwak,miniwak$Theta==i &amp;</w:t>
      </w:r>
      <w:r>
        <w:rPr>
          <w:rStyle w:val="StringTok"/>
        </w:rPr>
        <w:t xml:space="preserve"> </w:t>
      </w:r>
      <w:r>
        <w:rPr>
          <w:rStyle w:val="NormalTok"/>
        </w:rPr>
        <w:t xml:space="preserve">miniwak$segSites==mysegsite)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(mysubset$prob)-&gt;maxprob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which</w:t>
      </w:r>
      <w:r>
        <w:rPr>
          <w:rStyle w:val="NormalTok"/>
        </w:rPr>
        <w:t xml:space="preserve">(mysubset$prob==maxprob)-&gt;best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mysubset$n[best]-&gt;best.n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best.n-&gt;goodwak$best.n[j]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now "goodwak" has theta,seg.sites and best.n</w:t>
      </w:r>
      <w:r>
        <w:br w:type="textWrapping"/>
      </w:r>
      <w:r>
        <w:br w:type="textWrapping"/>
      </w:r>
      <w:r>
        <w:rPr>
          <w:rStyle w:val="CommentTok"/>
        </w:rPr>
        <w:t xml:space="preserve"># Now we want to merge the observed segregating sites with the segregating sites used to estimate Wakeley's formula, and that will allow us to plot the "real" n vs the best.n according Wakeley.</w:t>
      </w:r>
      <w:r>
        <w:br w:type="textWrapping"/>
      </w:r>
      <w:r>
        <w:rPr>
          <w:rStyle w:val="NormalTok"/>
        </w:rPr>
        <w:t xml:space="preserve">bymedian&lt;-</w:t>
      </w:r>
      <w:r>
        <w:rPr>
          <w:rStyle w:val="KeywordTok"/>
        </w:rPr>
        <w:t xml:space="preserve">merge</w:t>
      </w:r>
      <w:r>
        <w:rPr>
          <w:rStyle w:val="NormalTok"/>
        </w:rPr>
        <w:t xml:space="preserve">(miniObs,goodwak,</w:t>
      </w:r>
      <w:r>
        <w:rPr>
          <w:rStyle w:val="DataTypeTok"/>
        </w:rPr>
        <w:t xml:space="preserve">by.x=</w:t>
      </w:r>
      <w:r>
        <w:rPr>
          <w:rStyle w:val="StringTok"/>
        </w:rPr>
        <w:t xml:space="preserve">"medianOb"</w:t>
      </w:r>
      <w:r>
        <w:rPr>
          <w:rStyle w:val="NormalTok"/>
        </w:rPr>
        <w:t xml:space="preserve">,</w:t>
      </w:r>
      <w:r>
        <w:rPr>
          <w:rStyle w:val="DataTypeTok"/>
        </w:rPr>
        <w:t xml:space="preserve">by.y=</w:t>
      </w:r>
      <w:r>
        <w:rPr>
          <w:rStyle w:val="StringTok"/>
        </w:rPr>
        <w:t xml:space="preserve">"seg.sites"</w:t>
      </w:r>
      <w:r>
        <w:rPr>
          <w:rStyle w:val="NormalTok"/>
        </w:rPr>
        <w:t xml:space="preserve">,</w:t>
      </w:r>
      <w:r>
        <w:rPr>
          <w:rStyle w:val="DataTypeTok"/>
        </w:rPr>
        <w:t xml:space="preserve">all.x=</w:t>
      </w:r>
      <w:r>
        <w:rPr>
          <w:rStyle w:val="NormalTok"/>
        </w:rPr>
        <w:t xml:space="preserve">T)</w:t>
      </w:r>
      <w:r>
        <w:br w:type="textWrapping"/>
      </w:r>
      <w:r>
        <w:rPr>
          <w:rStyle w:val="NormalTok"/>
        </w:rPr>
        <w:t xml:space="preserve">bymedian[</w:t>
      </w:r>
      <w:r>
        <w:rPr>
          <w:rStyle w:val="KeywordTok"/>
        </w:rPr>
        <w:t xml:space="preserve">complete.cases</w:t>
      </w:r>
      <w:r>
        <w:rPr>
          <w:rStyle w:val="NormalTok"/>
        </w:rPr>
        <w:t xml:space="preserve">(bymedian$best.n),]-&gt;bymedian1</w:t>
      </w:r>
      <w:r>
        <w:br w:type="textWrapping"/>
      </w:r>
      <w:r>
        <w:rPr>
          <w:rStyle w:val="NormalTok"/>
        </w:rPr>
        <w:t xml:space="preserve">bymedian1$Pop&lt;-</w:t>
      </w:r>
      <w:r>
        <w:rPr>
          <w:rStyle w:val="KeywordTok"/>
        </w:rPr>
        <w:t xml:space="preserve">factor</w:t>
      </w:r>
      <w:r>
        <w:rPr>
          <w:rStyle w:val="NormalTok"/>
        </w:rPr>
        <w:t xml:space="preserve">(bymedian1$Pop)</w:t>
      </w:r>
      <w:r>
        <w:br w:type="textWrapping"/>
      </w:r>
      <w:r>
        <w:rPr>
          <w:rStyle w:val="KeywordTok"/>
        </w:rPr>
        <w:t xml:space="preserve">xyplot</w:t>
      </w:r>
      <w:r>
        <w:rPr>
          <w:rStyle w:val="NormalTok"/>
        </w:rPr>
        <w:t xml:space="preserve">(best.n~samplingSize|Pop,</w:t>
      </w:r>
      <w:r>
        <w:rPr>
          <w:rStyle w:val="DataTypeTok"/>
        </w:rPr>
        <w:t xml:space="preserve">data=</w:t>
      </w:r>
      <w:r>
        <w:rPr>
          <w:rStyle w:val="NormalTok"/>
        </w:rPr>
        <w:t xml:space="preserve">bymedian1)</w:t>
      </w:r>
    </w:p>
    <w:p>
      <w:r>
        <w:drawing>
          <wp:inline>
            <wp:extent cx="5440680" cy="4352544"/>
            <wp:effectExtent b="0" l="0" r="0" t="0"/>
            <wp:docPr descr="" id="1" name="Picture"/>
            <a:graphic>
              <a:graphicData uri="http://schemas.openxmlformats.org/drawingml/2006/picture">
                <pic:pic>
                  <pic:nvPicPr>
                    <pic:cNvPr descr="QuBar_7Jul2015_files/figure-docx/plotting%20Wakeley%20data-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John's part below:</w:t>
      </w:r>
    </w:p>
    <w:p>
      <w:r>
        <w:drawing>
          <wp:inline>
            <wp:extent cx="5440680" cy="4352544"/>
            <wp:effectExtent b="0" l="0" r="0" t="0"/>
            <wp:docPr descr="" id="1" name="Picture"/>
            <a:graphic>
              <a:graphicData uri="http://schemas.openxmlformats.org/drawingml/2006/picture">
                <pic:pic>
                  <pic:nvPicPr>
                    <pic:cNvPr descr="QuBar_7Jul2015_files/figure-docx/nextfig-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Remember that the input data for this single taxon included 19 individuals, the vertical line in plot above. What is likelihood function? Product of the two distributions? That is too stark in areas where they don't really overlap probabilities. Shouldn't be ZERO there?</w:t>
      </w:r>
    </w:p>
    <w:p>
      <w:r>
        <w:t xml:space="preserve">Need to then adapt this to a sample from 4-5 species for which there is known information? Or do simulated data (X species, vector of theta in simulation and hapdiv when all said and done, they are after all, related) and adjust the evenness in series of plots to see if evenness/richness gets recovered appropriately, given confidence intervals after all...</w:t>
      </w:r>
    </w:p>
    <w:p>
      <w:r>
        <w:t xml:space="preserve">n.b. Marc Feldman was concerned about the two statistics double-dipping on the same theory... is this ABC, is this borrowing strength, is this inappropriate??</w:t>
      </w:r>
      <w:r>
        <w:t xml:space="preserve"> </w:t>
      </w:r>
      <w:r>
        <w:rPr>
          <w:b/>
        </w:rPr>
        <w:t xml:space="preserve">AH. but certainly</w:t>
      </w:r>
      <w:r>
        <w:rPr>
          <w:b/>
        </w:rPr>
        <w:t xml:space="preserve"> </w:t>
      </w:r>
      <w:r>
        <w:rPr>
          <w:i/>
          <w:b/>
        </w:rPr>
        <w:t xml:space="preserve">S</w:t>
      </w:r>
      <w:r>
        <w:rPr>
          <w:b/>
        </w:rPr>
        <w:t xml:space="preserve"> </w:t>
      </w:r>
      <w:r>
        <w:rPr>
          <w:b/>
        </w:rPr>
        <w:t xml:space="preserve">and</w:t>
      </w:r>
      <w:r>
        <w:rPr>
          <w:b/>
        </w:rPr>
        <w:t xml:space="preserve"> </w:t>
      </w:r>
      <w:r>
        <w:rPr>
          <w:i/>
          <w:b/>
        </w:rPr>
        <w:t xml:space="preserve">H</w:t>
      </w:r>
      <w:r>
        <w:rPr>
          <w:b/>
        </w:rPr>
        <w:t xml:space="preserve"> </w:t>
      </w:r>
      <w:r>
        <w:rPr>
          <w:b/>
        </w:rPr>
        <w:t xml:space="preserve">are not independent observations thus cannot simply use product of the two to generate a Likelihood</w:t>
      </w:r>
      <w:r>
        <w:t xml:space="preserve"> </w:t>
      </w:r>
      <w:r>
        <w:t xml:space="preserve">perhaps identify which is better, useful, or are neither sufficient?</w:t>
      </w:r>
    </w:p>
    <w:p>
      <w:pPr>
        <w:pStyle w:val="Heading1"/>
      </w:pPr>
      <w:bookmarkStart w:id="38" w:name="discussion"/>
      <w:bookmarkEnd w:id="38"/>
      <w:r>
        <w:t xml:space="preserve">Discussion</w:t>
      </w:r>
    </w:p>
    <w:p>
      <w:r>
        <w:t xml:space="preserve">Returning to the coin flip, it is worth evaluating wherein lies the strength of inferential signal. 50% gives NO information, could be 2 or infinite flips. So it is deviation that is signal in the coin flip example. Similarly, for a system of diversity such as this we need the</w:t>
      </w:r>
      <w:r>
        <w:t xml:space="preserve"> </w:t>
      </w:r>
      <w:r>
        <w:rPr>
          <w:i/>
        </w:rPr>
        <w:t xml:space="preserve">potential</w:t>
      </w:r>
      <w:r>
        <w:t xml:space="preserve"> </w:t>
      </w:r>
      <w:r>
        <w:t xml:space="preserve">for diverse outcomes to evaluate: low theta means nearly all sample sizes are possible, for example. In this sense, developing this with a mind for species that are broadly distributed and highly abundant is likely a more effective strategy than endemic small populations.</w:t>
      </w:r>
    </w:p>
    <w:p>
      <w:r>
        <w:t xml:space="preserve">It should be noted that the problem we face - unknown input to the diversity observed - is a similar problem that biologists have handled studying species introductions (Wares et al. 2005) exacerbated by the confounding issues of next-generation sequencing.</w:t>
      </w:r>
    </w:p>
    <w:p>
      <w:r>
        <w:t xml:space="preserve">Talk a bit about how barcode frequency information maybe isn't as far off when dealing with closely related taxa? We aren't throuwing out frequency, goal here is to look solely at complementary information.</w:t>
      </w:r>
    </w:p>
    <w:p>
      <w:r>
        <w:t xml:space="preserve">In the end, Discussion :: though there are concerns about read frequency...at a minimum haplotpye number bounds the minimum. In this way we feel better about order of magnitude results, and less need for prior information from a population. This has been less evaluated in microbial/viral samples as "population" is perhaps less defined in those communi9ties than in eukaryote or metazoan communiteis, e.g. through gene flow. But as a complementary recognition that the number of haplotypes tells us some information for sure, and prior information about that population may also provide additional information, we may start to improve on our ability to recover actual ecology from actual molecules.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An important note is that we need to be confident that our data from the field population (the haplotype diversity or theta) is representing a "true" population, and it is not including different populations</w:t>
      </w:r>
    </w:p>
    <w:p>
      <w:r>
        <w:t xml:space="preserve">another thing to consider with prior knowledge: presumably different species amplify with different efficiency, but WITHIN a population - well, perhaps you can evaluate (a) the frequency of haplotypes, and thus (b) the site frequency spectrum - in other words, you could calculate haplotype diversity as well and see how well it matches prior estimates, and also you could then assume that things like Taj D could be calculated? Could that perform any better at getting you back to actual-n? Probably not.</w:t>
      </w:r>
    </w:p>
    <w:p>
      <w:pPr>
        <w:pStyle w:val="Heading1"/>
      </w:pPr>
      <w:bookmarkStart w:id="39" w:name="acknowledgments"/>
      <w:bookmarkEnd w:id="39"/>
      <w:r>
        <w:t xml:space="preserve">Acknowledgments</w:t>
      </w:r>
    </w:p>
    <w:p>
      <w:r>
        <w:t xml:space="preserve">Idea brought about by extended problem-solving session with J. Drake, helped greatly by C. Ewers-Saucedo and K. Bockrath. Work supported by funding from NSF-OCE-Chile, OVPR, and UGA Department of Genetics.</w:t>
      </w:r>
    </w:p>
    <w:p>
      <w:pPr>
        <w:pStyle w:val="Heading1"/>
      </w:pPr>
      <w:bookmarkStart w:id="40" w:name="figure-captions"/>
      <w:bookmarkEnd w:id="40"/>
      <w:r>
        <w:t xml:space="preserve">Figure captions</w:t>
      </w:r>
    </w:p>
    <w:p>
      <w:pPr>
        <w:pStyle w:val="Heading1"/>
      </w:pPr>
      <w:bookmarkStart w:id="41" w:name="literature-cited"/>
      <w:bookmarkEnd w:id="41"/>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42">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43">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44">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45">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46">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47">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48">
        <w:r>
          <w:rPr>
            <w:rStyle w:val="Link"/>
          </w:rPr>
          <w:t xml:space="preserve">10.1371/journal.pcbi.1002743</w:t>
        </w:r>
      </w:hyperlink>
      <w:r>
        <w:t xml:space="preserve">.</w:t>
      </w:r>
    </w:p>
    <w:p>
      <w:pPr>
        <w:pStyle w:val="Bibliography"/>
      </w:pPr>
      <w:r>
        <w:t xml:space="preserve">Laughlin, K., C. Ewers, and J. P. Wares. 2012. “Mitochondrial Lineages in Notochthamalus Scabrosus as Indicators of Coastal Recruitment and Interactions.” Journal Article.</w:t>
      </w:r>
      <w:r>
        <w:t xml:space="preserve"> </w:t>
      </w:r>
      <w:r>
        <w:rPr>
          <w:i/>
        </w:rPr>
        <w:t xml:space="preserve">Ecology and Evolution</w:t>
      </w:r>
      <w:r>
        <w:t xml:space="preserve"> </w:t>
      </w:r>
      <w:r>
        <w:t xml:space="preserve">2: 1584–92. doi:</w:t>
      </w:r>
      <w:hyperlink r:id="rId49">
        <w:r>
          <w:rPr>
            <w:rStyle w:val="Link"/>
          </w:rPr>
          <w:t xml:space="preserve">10.1002/ece3.283</w:t>
        </w:r>
      </w:hyperlink>
      <w:r>
        <w:t xml:space="preserve">.</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50">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51">
        <w:r>
          <w:rPr>
            <w:rStyle w:val="Link"/>
          </w:rPr>
          <w:t xml:space="preserve">10.1111/nph.12923</w:t>
        </w:r>
      </w:hyperlink>
      <w:r>
        <w:t xml:space="preserve">.</w:t>
      </w:r>
    </w:p>
    <w:p>
      <w:pPr>
        <w:pStyle w:val="Bibliography"/>
      </w:pPr>
      <w:r>
        <w:t xml:space="preserve">Piñol,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52">
        <w:r>
          <w:rPr>
            <w:rStyle w:val="Link"/>
          </w:rPr>
          <w:t xml:space="preserve">10.1111/1755-0998.12355</w:t>
        </w:r>
      </w:hyperlink>
      <w:r>
        <w:t xml:space="preserve">.</w:t>
      </w:r>
    </w:p>
    <w:p>
      <w:pPr>
        <w:pStyle w:val="Bibliography"/>
      </w:pPr>
      <w:r>
        <w:t xml:space="preserve">Sherwin, W. B. 2010. “Entropy and Information Approaches to Genetic Diversity and Its Expression: Genomic Geography.” Journal Article.</w:t>
      </w:r>
      <w:r>
        <w:t xml:space="preserve"> </w:t>
      </w:r>
      <w:r>
        <w:rPr>
          <w:i/>
        </w:rPr>
        <w:t xml:space="preserve">Entropy</w:t>
      </w:r>
      <w:r>
        <w:t xml:space="preserve"> </w:t>
      </w:r>
      <w:r>
        <w:t xml:space="preserve">12 (7): 1765–98. doi:</w:t>
      </w:r>
      <w:hyperlink r:id="rId53">
        <w:r>
          <w:rPr>
            <w:rStyle w:val="Link"/>
          </w:rPr>
          <w:t xml:space="preserve">Doi 10.3390/E12071765</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54">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8c13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42" Target="&lt;Go to ISI&gt;://000237296700043 " TargetMode="External" /><Relationship Type="http://schemas.openxmlformats.org/officeDocument/2006/relationships/hyperlink" Id="rId49" Target="http://dx.doi.org/10.1002/ece3.283" TargetMode="External" /><Relationship Type="http://schemas.openxmlformats.org/officeDocument/2006/relationships/hyperlink" Id="rId52" Target="http://dx.doi.org/10.1111/1755-0998.12355" TargetMode="External" /><Relationship Type="http://schemas.openxmlformats.org/officeDocument/2006/relationships/hyperlink" Id="rId51" Target="http://dx.doi.org/10.1111/nph.12923" TargetMode="External" /><Relationship Type="http://schemas.openxmlformats.org/officeDocument/2006/relationships/hyperlink" Id="rId45" Target="http://dx.doi.org/10.1371/journal.pbio.1002112" TargetMode="External" /><Relationship Type="http://schemas.openxmlformats.org/officeDocument/2006/relationships/hyperlink" Id="rId48" Target="http://dx.doi.org/10.1371/journal.pcbi.1002743" TargetMode="External" /><Relationship Type="http://schemas.openxmlformats.org/officeDocument/2006/relationships/hyperlink" Id="rId44" Target="http://dx.doi.org/Doi 10.1016/J.Marpolbul.2013.05.042" TargetMode="External" /><Relationship Type="http://schemas.openxmlformats.org/officeDocument/2006/relationships/hyperlink" Id="rId43" Target="http://dx.doi.org/Doi 10.1016/J.Tree.2014.04.003" TargetMode="External" /><Relationship Type="http://schemas.openxmlformats.org/officeDocument/2006/relationships/hyperlink" Id="rId46" Target="http://dx.doi.org/Doi 10.1038/Nature06735" TargetMode="External" /><Relationship Type="http://schemas.openxmlformats.org/officeDocument/2006/relationships/hyperlink" Id="rId50" Target="http://dx.doi.org/Doi 10.1080/01431160117096" TargetMode="External" /><Relationship Type="http://schemas.openxmlformats.org/officeDocument/2006/relationships/hyperlink" Id="rId53" Target="http://dx.doi.org/Doi 10.3390/E12071765" TargetMode="External" /><Relationship Type="http://schemas.openxmlformats.org/officeDocument/2006/relationships/hyperlink" Id="rId54" Target="http://dx.doi.org/nature07540 [pii]
10.1038/nature07540" TargetMode="External" /><Relationship Type="http://schemas.openxmlformats.org/officeDocument/2006/relationships/hyperlink" Id="rId47" Target="http://www.ncbi.nlm.nih.gov/pubmed/11847089" TargetMode="External" /></Relationships>
</file>

<file path=word/_rels/footnotes.xml.rels><?xml version="1.0" encoding="UTF-8"?>
<Relationships xmlns="http://schemas.openxmlformats.org/package/2006/relationships"><Relationship Type="http://schemas.openxmlformats.org/officeDocument/2006/relationships/hyperlink" Id="rId42" Target="&lt;Go to ISI&gt;://000237296700043 " TargetMode="External" /><Relationship Type="http://schemas.openxmlformats.org/officeDocument/2006/relationships/hyperlink" Id="rId49" Target="http://dx.doi.org/10.1002/ece3.283" TargetMode="External" /><Relationship Type="http://schemas.openxmlformats.org/officeDocument/2006/relationships/hyperlink" Id="rId52" Target="http://dx.doi.org/10.1111/1755-0998.12355" TargetMode="External" /><Relationship Type="http://schemas.openxmlformats.org/officeDocument/2006/relationships/hyperlink" Id="rId51" Target="http://dx.doi.org/10.1111/nph.12923" TargetMode="External" /><Relationship Type="http://schemas.openxmlformats.org/officeDocument/2006/relationships/hyperlink" Id="rId45" Target="http://dx.doi.org/10.1371/journal.pbio.1002112" TargetMode="External" /><Relationship Type="http://schemas.openxmlformats.org/officeDocument/2006/relationships/hyperlink" Id="rId48" Target="http://dx.doi.org/10.1371/journal.pcbi.1002743" TargetMode="External" /><Relationship Type="http://schemas.openxmlformats.org/officeDocument/2006/relationships/hyperlink" Id="rId44" Target="http://dx.doi.org/Doi 10.1016/J.Marpolbul.2013.05.042" TargetMode="External" /><Relationship Type="http://schemas.openxmlformats.org/officeDocument/2006/relationships/hyperlink" Id="rId43" Target="http://dx.doi.org/Doi 10.1016/J.Tree.2014.04.003" TargetMode="External" /><Relationship Type="http://schemas.openxmlformats.org/officeDocument/2006/relationships/hyperlink" Id="rId46" Target="http://dx.doi.org/Doi 10.1038/Nature06735" TargetMode="External" /><Relationship Type="http://schemas.openxmlformats.org/officeDocument/2006/relationships/hyperlink" Id="rId50" Target="http://dx.doi.org/Doi 10.1080/01431160117096" TargetMode="External" /><Relationship Type="http://schemas.openxmlformats.org/officeDocument/2006/relationships/hyperlink" Id="rId53" Target="http://dx.doi.org/Doi 10.3390/E12071765" TargetMode="External" /><Relationship Type="http://schemas.openxmlformats.org/officeDocument/2006/relationships/hyperlink" Id="rId54" Target="http://dx.doi.org/nature07540 [pii]
10.1038/nature07540" TargetMode="External" /><Relationship Type="http://schemas.openxmlformats.org/officeDocument/2006/relationships/hyperlink" Id="rId47" Target="http://www.ncbi.nlm.nih.gov/pubmed/118470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Metazoan Metabarcoding</dc:title>
  <dc:creator>John Wares and Paula Pappalardo</dc:creator>
</cp:coreProperties>
</file>