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实验1</w:t>
      </w:r>
      <w:r>
        <w:t xml:space="preserve"> </w:t>
      </w:r>
      <w:r>
        <w:rPr>
          <w:rFonts w:hint="eastAsia"/>
        </w:rPr>
        <w:t>音乐流行度预测</w:t>
      </w:r>
    </w:p>
    <w:p>
      <w:pPr>
        <w:jc w:val="center"/>
      </w:pPr>
      <w:bookmarkStart w:id="0" w:name="_GoBack"/>
      <w:bookmarkEnd w:id="0"/>
      <w:r>
        <w:rPr>
          <w:rFonts w:hint="eastAsia"/>
        </w:rPr>
        <w:t>2</w:t>
      </w:r>
      <w:r>
        <w:t>02</w:t>
      </w:r>
      <w:r>
        <w:rPr>
          <w:rFonts w:hint="eastAsia"/>
        </w:rPr>
        <w:t>4年</w:t>
      </w:r>
      <w:r>
        <w:t>3</w:t>
      </w:r>
      <w:r>
        <w:rPr>
          <w:rFonts w:hint="eastAsia"/>
        </w:rPr>
        <w:t>月28日</w:t>
      </w:r>
    </w:p>
    <w:p>
      <w:pPr>
        <w:jc w:val="center"/>
        <w:rPr>
          <w:rFonts w:hint="eastAsia"/>
        </w:rPr>
      </w:pPr>
      <w:r>
        <w:rPr>
          <w:rFonts w:hint="eastAsia"/>
        </w:rPr>
        <w:t>截止日期：4月10日24:00</w:t>
      </w:r>
    </w:p>
    <w:p/>
    <w:p>
      <w:pPr>
        <w:pStyle w:val="3"/>
      </w:pPr>
      <w:r>
        <w:rPr>
          <w:rFonts w:hint="eastAsia"/>
        </w:rPr>
        <w:t>任务描述</w:t>
      </w:r>
    </w:p>
    <w:p>
      <w:r>
        <w:rPr>
          <w:rFonts w:hint="eastAsia"/>
        </w:rPr>
        <w:t>构建线性回归模型，对音乐流行度进行预测。</w:t>
      </w:r>
    </w:p>
    <w:p>
      <w:pPr>
        <w:pStyle w:val="3"/>
      </w:pPr>
      <w:r>
        <w:rPr>
          <w:rFonts w:hint="eastAsia"/>
        </w:rPr>
        <w:t>数据集简介</w:t>
      </w:r>
    </w:p>
    <w:p>
      <w:r>
        <w:t>人类与歌曲和音乐有着紧密的联系。音乐可以改善情绪，减轻疼痛和焦虑，为情感表达提供机会。研究表明，音乐可以在许多方面有益于我们的身体和心理健康。最近，多项研究已经开展，以了解歌曲和其受欢迎程度</w:t>
      </w:r>
      <w:r>
        <w:rPr>
          <w:rFonts w:hint="eastAsia"/>
        </w:rPr>
        <w:t>之间</w:t>
      </w:r>
      <w:r>
        <w:t>的</w:t>
      </w:r>
      <w:r>
        <w:rPr>
          <w:rFonts w:hint="eastAsia"/>
        </w:rPr>
        <w:t>关系。本数据集中，</w:t>
      </w:r>
      <w:r>
        <w:t>歌曲</w:t>
      </w:r>
      <w:r>
        <w:rPr>
          <w:rFonts w:hint="eastAsia"/>
        </w:rPr>
        <w:t>用多种指标度量对进行描述并记录为表格，任务是预测歌曲流行度。数据集包含</w:t>
      </w:r>
      <w:r>
        <w:t>18835个样本，每个样本包含13个</w:t>
      </w:r>
      <w:r>
        <w:rPr>
          <w:rFonts w:hint="eastAsia"/>
        </w:rPr>
        <w:t>属性与1个实值标记，属性包括</w:t>
      </w:r>
      <w:r>
        <w:t>连续数据</w:t>
      </w:r>
      <w:r>
        <w:rPr>
          <w:rFonts w:hint="eastAsia"/>
        </w:rPr>
        <w:t>属性</w:t>
      </w:r>
      <w:r>
        <w:t>和离散</w:t>
      </w:r>
      <w:r>
        <w:rPr>
          <w:rFonts w:hint="eastAsia"/>
        </w:rPr>
        <w:t>属性，属性信息见下表。</w:t>
      </w:r>
      <w:r>
        <w:t>要注意数据之间存在多重共线性</w:t>
      </w:r>
      <w:r>
        <w:rPr>
          <w:rFonts w:hint="eastAsia"/>
        </w:rPr>
        <w:t>，这增加了任务的挑战难度</w:t>
      </w:r>
      <w: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0"/>
        <w:gridCol w:w="1234"/>
        <w:gridCol w:w="1276"/>
        <w:gridCol w:w="992"/>
        <w:gridCol w:w="1276"/>
        <w:gridCol w:w="1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pPr>
              <w:rPr>
                <w:szCs w:val="22"/>
              </w:rPr>
            </w:pPr>
            <w:r>
              <w:rPr>
                <w:rFonts w:hint="eastAsia"/>
                <w:szCs w:val="22"/>
              </w:rPr>
              <w:t>变量名</w:t>
            </w:r>
          </w:p>
        </w:tc>
        <w:tc>
          <w:tcPr>
            <w:tcW w:w="1234" w:type="dxa"/>
          </w:tcPr>
          <w:p>
            <w:pPr>
              <w:rPr>
                <w:szCs w:val="22"/>
              </w:rPr>
            </w:pPr>
            <w:r>
              <w:rPr>
                <w:rFonts w:hint="eastAsia"/>
                <w:szCs w:val="22"/>
              </w:rPr>
              <w:t>属性/标记</w:t>
            </w:r>
          </w:p>
        </w:tc>
        <w:tc>
          <w:tcPr>
            <w:tcW w:w="1276" w:type="dxa"/>
          </w:tcPr>
          <w:p>
            <w:pPr>
              <w:rPr>
                <w:szCs w:val="22"/>
              </w:rPr>
            </w:pPr>
            <w:r>
              <w:rPr>
                <w:rFonts w:hint="eastAsia"/>
                <w:szCs w:val="22"/>
              </w:rPr>
              <w:t>连续/离散</w:t>
            </w:r>
          </w:p>
        </w:tc>
        <w:tc>
          <w:tcPr>
            <w:tcW w:w="992" w:type="dxa"/>
          </w:tcPr>
          <w:p>
            <w:pPr>
              <w:rPr>
                <w:szCs w:val="22"/>
              </w:rPr>
            </w:pPr>
            <w:r>
              <w:rPr>
                <w:rFonts w:hint="eastAsia"/>
                <w:szCs w:val="22"/>
              </w:rPr>
              <w:t>类型</w:t>
            </w:r>
          </w:p>
        </w:tc>
        <w:tc>
          <w:tcPr>
            <w:tcW w:w="1276" w:type="dxa"/>
          </w:tcPr>
          <w:p>
            <w:pPr>
              <w:rPr>
                <w:szCs w:val="22"/>
              </w:rPr>
            </w:pPr>
            <w:r>
              <w:rPr>
                <w:rFonts w:hint="eastAsia"/>
                <w:szCs w:val="22"/>
              </w:rPr>
              <w:t>上下界</w:t>
            </w:r>
          </w:p>
        </w:tc>
        <w:tc>
          <w:tcPr>
            <w:tcW w:w="1498" w:type="dxa"/>
          </w:tcPr>
          <w:p>
            <w:pPr>
              <w:rPr>
                <w:szCs w:val="22"/>
              </w:rPr>
            </w:pPr>
            <w:r>
              <w:rPr>
                <w:rFonts w:hint="eastAsia"/>
                <w:szCs w:val="22"/>
              </w:rPr>
              <w:t>离散值个数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pPr>
              <w:rPr>
                <w:szCs w:val="22"/>
              </w:rPr>
            </w:pPr>
            <w:r>
              <w:rPr>
                <w:szCs w:val="22"/>
              </w:rPr>
              <w:t>S</w:t>
            </w:r>
            <w:r>
              <w:rPr>
                <w:rFonts w:hint="eastAsia"/>
                <w:szCs w:val="22"/>
              </w:rPr>
              <w:t>ong</w:t>
            </w:r>
            <w:r>
              <w:rPr>
                <w:szCs w:val="22"/>
              </w:rPr>
              <w:t>_name</w:t>
            </w:r>
          </w:p>
        </w:tc>
        <w:tc>
          <w:tcPr>
            <w:tcW w:w="1234" w:type="dxa"/>
          </w:tcPr>
          <w:p>
            <w:pPr>
              <w:rPr>
                <w:szCs w:val="22"/>
              </w:rPr>
            </w:pPr>
          </w:p>
        </w:tc>
        <w:tc>
          <w:tcPr>
            <w:tcW w:w="1276" w:type="dxa"/>
          </w:tcPr>
          <w:p>
            <w:pPr>
              <w:rPr>
                <w:szCs w:val="22"/>
              </w:rPr>
            </w:pPr>
          </w:p>
        </w:tc>
        <w:tc>
          <w:tcPr>
            <w:tcW w:w="992" w:type="dxa"/>
          </w:tcPr>
          <w:p>
            <w:pPr>
              <w:rPr>
                <w:szCs w:val="22"/>
              </w:rPr>
            </w:pPr>
            <w:r>
              <w:rPr>
                <w:rFonts w:hint="eastAsia"/>
                <w:szCs w:val="22"/>
              </w:rPr>
              <w:t>s</w:t>
            </w:r>
            <w:r>
              <w:rPr>
                <w:szCs w:val="22"/>
              </w:rPr>
              <w:t>tring</w:t>
            </w:r>
          </w:p>
        </w:tc>
        <w:tc>
          <w:tcPr>
            <w:tcW w:w="1276" w:type="dxa"/>
          </w:tcPr>
          <w:p>
            <w:pPr>
              <w:rPr>
                <w:szCs w:val="22"/>
              </w:rPr>
            </w:pPr>
          </w:p>
        </w:tc>
        <w:tc>
          <w:tcPr>
            <w:tcW w:w="1498" w:type="dxa"/>
          </w:tcPr>
          <w:p>
            <w:pPr>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pPr>
              <w:rPr>
                <w:szCs w:val="22"/>
              </w:rPr>
            </w:pPr>
            <w:r>
              <w:rPr>
                <w:szCs w:val="22"/>
              </w:rPr>
              <w:t>Song_popularity</w:t>
            </w:r>
          </w:p>
        </w:tc>
        <w:tc>
          <w:tcPr>
            <w:tcW w:w="1234" w:type="dxa"/>
          </w:tcPr>
          <w:p>
            <w:pPr>
              <w:rPr>
                <w:szCs w:val="22"/>
              </w:rPr>
            </w:pPr>
            <w:r>
              <w:rPr>
                <w:rFonts w:hint="eastAsia"/>
                <w:szCs w:val="22"/>
              </w:rPr>
              <w:t>L</w:t>
            </w:r>
            <w:r>
              <w:rPr>
                <w:szCs w:val="22"/>
              </w:rPr>
              <w:t>abel</w:t>
            </w:r>
          </w:p>
        </w:tc>
        <w:tc>
          <w:tcPr>
            <w:tcW w:w="1276" w:type="dxa"/>
          </w:tcPr>
          <w:p>
            <w:pPr>
              <w:rPr>
                <w:szCs w:val="22"/>
              </w:rPr>
            </w:pPr>
            <w:r>
              <w:rPr>
                <w:szCs w:val="22"/>
              </w:rPr>
              <w:t>Continuous</w:t>
            </w:r>
          </w:p>
        </w:tc>
        <w:tc>
          <w:tcPr>
            <w:tcW w:w="992" w:type="dxa"/>
          </w:tcPr>
          <w:p>
            <w:pPr>
              <w:rPr>
                <w:szCs w:val="22"/>
              </w:rPr>
            </w:pPr>
            <w:r>
              <w:rPr>
                <w:rFonts w:hint="eastAsia"/>
                <w:szCs w:val="22"/>
              </w:rPr>
              <w:t>i</w:t>
            </w:r>
            <w:r>
              <w:rPr>
                <w:szCs w:val="22"/>
              </w:rPr>
              <w:t>nt</w:t>
            </w:r>
          </w:p>
        </w:tc>
        <w:tc>
          <w:tcPr>
            <w:tcW w:w="1276" w:type="dxa"/>
          </w:tcPr>
          <w:p>
            <w:pPr>
              <w:rPr>
                <w:szCs w:val="22"/>
              </w:rPr>
            </w:pPr>
            <w:r>
              <w:rPr>
                <w:szCs w:val="22"/>
              </w:rPr>
              <w:t>(0,100)</w:t>
            </w:r>
          </w:p>
        </w:tc>
        <w:tc>
          <w:tcPr>
            <w:tcW w:w="1498" w:type="dxa"/>
          </w:tcPr>
          <w:p>
            <w:pPr>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pPr>
              <w:rPr>
                <w:szCs w:val="22"/>
              </w:rPr>
            </w:pPr>
            <w:r>
              <w:rPr>
                <w:szCs w:val="22"/>
              </w:rPr>
              <w:t>Song_duration_ms</w:t>
            </w:r>
          </w:p>
        </w:tc>
        <w:tc>
          <w:tcPr>
            <w:tcW w:w="1234" w:type="dxa"/>
          </w:tcPr>
          <w:p>
            <w:pPr>
              <w:rPr>
                <w:szCs w:val="22"/>
              </w:rPr>
            </w:pPr>
            <w:r>
              <w:rPr>
                <w:szCs w:val="22"/>
              </w:rPr>
              <w:t>A</w:t>
            </w:r>
            <w:r>
              <w:rPr>
                <w:rFonts w:hint="eastAsia"/>
                <w:szCs w:val="22"/>
              </w:rPr>
              <w:t>tt</w:t>
            </w:r>
            <w:r>
              <w:rPr>
                <w:szCs w:val="22"/>
              </w:rPr>
              <w:t>ribute</w:t>
            </w:r>
          </w:p>
        </w:tc>
        <w:tc>
          <w:tcPr>
            <w:tcW w:w="1276" w:type="dxa"/>
          </w:tcPr>
          <w:p>
            <w:pPr>
              <w:rPr>
                <w:szCs w:val="22"/>
              </w:rPr>
            </w:pPr>
            <w:r>
              <w:rPr>
                <w:szCs w:val="22"/>
              </w:rPr>
              <w:t>Continuous</w:t>
            </w:r>
          </w:p>
        </w:tc>
        <w:tc>
          <w:tcPr>
            <w:tcW w:w="992" w:type="dxa"/>
          </w:tcPr>
          <w:p>
            <w:pPr>
              <w:rPr>
                <w:szCs w:val="22"/>
              </w:rPr>
            </w:pPr>
            <w:r>
              <w:rPr>
                <w:rFonts w:hint="eastAsia"/>
                <w:szCs w:val="22"/>
              </w:rPr>
              <w:t>i</w:t>
            </w:r>
            <w:r>
              <w:rPr>
                <w:szCs w:val="22"/>
              </w:rPr>
              <w:t>nt</w:t>
            </w:r>
          </w:p>
        </w:tc>
        <w:tc>
          <w:tcPr>
            <w:tcW w:w="1276" w:type="dxa"/>
          </w:tcPr>
          <w:p>
            <w:pPr>
              <w:rPr>
                <w:szCs w:val="22"/>
              </w:rPr>
            </w:pPr>
            <w:r>
              <w:rPr>
                <w:szCs w:val="22"/>
              </w:rPr>
              <w:t>(12k,1.8m)</w:t>
            </w:r>
          </w:p>
        </w:tc>
        <w:tc>
          <w:tcPr>
            <w:tcW w:w="1498" w:type="dxa"/>
          </w:tcPr>
          <w:p>
            <w:pPr>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pPr>
              <w:rPr>
                <w:szCs w:val="22"/>
              </w:rPr>
            </w:pPr>
            <w:r>
              <w:rPr>
                <w:rFonts w:hint="eastAsia"/>
                <w:szCs w:val="22"/>
              </w:rPr>
              <w:t>a</w:t>
            </w:r>
            <w:r>
              <w:rPr>
                <w:szCs w:val="22"/>
              </w:rPr>
              <w:t>cousticness</w:t>
            </w:r>
          </w:p>
        </w:tc>
        <w:tc>
          <w:tcPr>
            <w:tcW w:w="1234" w:type="dxa"/>
          </w:tcPr>
          <w:p>
            <w:pPr>
              <w:rPr>
                <w:szCs w:val="22"/>
              </w:rPr>
            </w:pPr>
            <w:r>
              <w:rPr>
                <w:szCs w:val="22"/>
              </w:rPr>
              <w:t>A</w:t>
            </w:r>
            <w:r>
              <w:rPr>
                <w:rFonts w:hint="eastAsia"/>
                <w:szCs w:val="22"/>
              </w:rPr>
              <w:t>tt</w:t>
            </w:r>
            <w:r>
              <w:rPr>
                <w:szCs w:val="22"/>
              </w:rPr>
              <w:t>ribute</w:t>
            </w:r>
          </w:p>
        </w:tc>
        <w:tc>
          <w:tcPr>
            <w:tcW w:w="1276" w:type="dxa"/>
          </w:tcPr>
          <w:p>
            <w:pPr>
              <w:rPr>
                <w:szCs w:val="22"/>
              </w:rPr>
            </w:pPr>
            <w:r>
              <w:rPr>
                <w:szCs w:val="22"/>
              </w:rPr>
              <w:t>Continuous</w:t>
            </w:r>
          </w:p>
        </w:tc>
        <w:tc>
          <w:tcPr>
            <w:tcW w:w="992" w:type="dxa"/>
          </w:tcPr>
          <w:p>
            <w:pPr>
              <w:rPr>
                <w:szCs w:val="22"/>
              </w:rPr>
            </w:pPr>
            <w:r>
              <w:rPr>
                <w:rFonts w:hint="eastAsia"/>
                <w:szCs w:val="22"/>
              </w:rPr>
              <w:t>d</w:t>
            </w:r>
            <w:r>
              <w:rPr>
                <w:szCs w:val="22"/>
              </w:rPr>
              <w:t>ouble</w:t>
            </w:r>
          </w:p>
        </w:tc>
        <w:tc>
          <w:tcPr>
            <w:tcW w:w="1276" w:type="dxa"/>
          </w:tcPr>
          <w:p>
            <w:pPr>
              <w:rPr>
                <w:szCs w:val="22"/>
              </w:rPr>
            </w:pPr>
            <w:r>
              <w:rPr>
                <w:szCs w:val="22"/>
              </w:rPr>
              <w:t>(0,1)</w:t>
            </w:r>
          </w:p>
        </w:tc>
        <w:tc>
          <w:tcPr>
            <w:tcW w:w="1498" w:type="dxa"/>
          </w:tcPr>
          <w:p>
            <w:pPr>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pPr>
              <w:rPr>
                <w:szCs w:val="22"/>
              </w:rPr>
            </w:pPr>
            <w:r>
              <w:rPr>
                <w:rFonts w:hint="eastAsia"/>
                <w:szCs w:val="22"/>
              </w:rPr>
              <w:t>d</w:t>
            </w:r>
            <w:r>
              <w:rPr>
                <w:szCs w:val="22"/>
              </w:rPr>
              <w:t>aceability</w:t>
            </w:r>
          </w:p>
        </w:tc>
        <w:tc>
          <w:tcPr>
            <w:tcW w:w="1234" w:type="dxa"/>
          </w:tcPr>
          <w:p>
            <w:pPr>
              <w:rPr>
                <w:szCs w:val="22"/>
              </w:rPr>
            </w:pPr>
            <w:r>
              <w:rPr>
                <w:szCs w:val="22"/>
              </w:rPr>
              <w:t>A</w:t>
            </w:r>
            <w:r>
              <w:rPr>
                <w:rFonts w:hint="eastAsia"/>
                <w:szCs w:val="22"/>
              </w:rPr>
              <w:t>tt</w:t>
            </w:r>
            <w:r>
              <w:rPr>
                <w:szCs w:val="22"/>
              </w:rPr>
              <w:t>ribute</w:t>
            </w:r>
          </w:p>
        </w:tc>
        <w:tc>
          <w:tcPr>
            <w:tcW w:w="1276" w:type="dxa"/>
          </w:tcPr>
          <w:p>
            <w:pPr>
              <w:rPr>
                <w:szCs w:val="22"/>
              </w:rPr>
            </w:pPr>
            <w:r>
              <w:rPr>
                <w:szCs w:val="22"/>
              </w:rPr>
              <w:t>Continuous</w:t>
            </w:r>
          </w:p>
        </w:tc>
        <w:tc>
          <w:tcPr>
            <w:tcW w:w="992" w:type="dxa"/>
          </w:tcPr>
          <w:p>
            <w:pPr>
              <w:rPr>
                <w:szCs w:val="22"/>
              </w:rPr>
            </w:pPr>
            <w:r>
              <w:rPr>
                <w:rFonts w:hint="eastAsia"/>
                <w:szCs w:val="22"/>
              </w:rPr>
              <w:t>d</w:t>
            </w:r>
            <w:r>
              <w:rPr>
                <w:szCs w:val="22"/>
              </w:rPr>
              <w:t>ouble</w:t>
            </w:r>
          </w:p>
        </w:tc>
        <w:tc>
          <w:tcPr>
            <w:tcW w:w="1276" w:type="dxa"/>
          </w:tcPr>
          <w:p>
            <w:pPr>
              <w:rPr>
                <w:szCs w:val="22"/>
              </w:rPr>
            </w:pPr>
            <w:r>
              <w:rPr>
                <w:szCs w:val="22"/>
              </w:rPr>
              <w:t>(0,0.99)</w:t>
            </w:r>
          </w:p>
        </w:tc>
        <w:tc>
          <w:tcPr>
            <w:tcW w:w="1498" w:type="dxa"/>
          </w:tcPr>
          <w:p>
            <w:pPr>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pPr>
              <w:rPr>
                <w:szCs w:val="22"/>
              </w:rPr>
            </w:pPr>
            <w:r>
              <w:rPr>
                <w:rFonts w:hint="eastAsia"/>
                <w:szCs w:val="22"/>
              </w:rPr>
              <w:t>e</w:t>
            </w:r>
            <w:r>
              <w:rPr>
                <w:szCs w:val="22"/>
              </w:rPr>
              <w:t>nergy</w:t>
            </w:r>
          </w:p>
        </w:tc>
        <w:tc>
          <w:tcPr>
            <w:tcW w:w="1234" w:type="dxa"/>
          </w:tcPr>
          <w:p>
            <w:pPr>
              <w:rPr>
                <w:szCs w:val="22"/>
              </w:rPr>
            </w:pPr>
            <w:r>
              <w:rPr>
                <w:szCs w:val="22"/>
              </w:rPr>
              <w:t>A</w:t>
            </w:r>
            <w:r>
              <w:rPr>
                <w:rFonts w:hint="eastAsia"/>
                <w:szCs w:val="22"/>
              </w:rPr>
              <w:t>tt</w:t>
            </w:r>
            <w:r>
              <w:rPr>
                <w:szCs w:val="22"/>
              </w:rPr>
              <w:t>ribute</w:t>
            </w:r>
          </w:p>
        </w:tc>
        <w:tc>
          <w:tcPr>
            <w:tcW w:w="1276" w:type="dxa"/>
          </w:tcPr>
          <w:p>
            <w:pPr>
              <w:rPr>
                <w:szCs w:val="22"/>
              </w:rPr>
            </w:pPr>
            <w:r>
              <w:rPr>
                <w:szCs w:val="22"/>
              </w:rPr>
              <w:t>Continuous</w:t>
            </w:r>
          </w:p>
        </w:tc>
        <w:tc>
          <w:tcPr>
            <w:tcW w:w="992" w:type="dxa"/>
          </w:tcPr>
          <w:p>
            <w:pPr>
              <w:rPr>
                <w:szCs w:val="22"/>
              </w:rPr>
            </w:pPr>
            <w:r>
              <w:rPr>
                <w:rFonts w:hint="eastAsia"/>
                <w:szCs w:val="22"/>
              </w:rPr>
              <w:t>d</w:t>
            </w:r>
            <w:r>
              <w:rPr>
                <w:szCs w:val="22"/>
              </w:rPr>
              <w:t>ouble</w:t>
            </w:r>
          </w:p>
        </w:tc>
        <w:tc>
          <w:tcPr>
            <w:tcW w:w="1276" w:type="dxa"/>
          </w:tcPr>
          <w:p>
            <w:pPr>
              <w:rPr>
                <w:szCs w:val="22"/>
              </w:rPr>
            </w:pPr>
            <w:r>
              <w:rPr>
                <w:szCs w:val="22"/>
              </w:rPr>
              <w:t>(0,1)</w:t>
            </w:r>
          </w:p>
        </w:tc>
        <w:tc>
          <w:tcPr>
            <w:tcW w:w="1498" w:type="dxa"/>
          </w:tcPr>
          <w:p>
            <w:pPr>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pPr>
              <w:rPr>
                <w:szCs w:val="22"/>
              </w:rPr>
            </w:pPr>
            <w:r>
              <w:rPr>
                <w:rFonts w:hint="eastAsia"/>
                <w:szCs w:val="22"/>
              </w:rPr>
              <w:t>i</w:t>
            </w:r>
            <w:r>
              <w:rPr>
                <w:szCs w:val="22"/>
              </w:rPr>
              <w:t>nstrumentalness</w:t>
            </w:r>
          </w:p>
        </w:tc>
        <w:tc>
          <w:tcPr>
            <w:tcW w:w="1234" w:type="dxa"/>
          </w:tcPr>
          <w:p>
            <w:pPr>
              <w:rPr>
                <w:szCs w:val="22"/>
              </w:rPr>
            </w:pPr>
            <w:r>
              <w:rPr>
                <w:szCs w:val="22"/>
              </w:rPr>
              <w:t>A</w:t>
            </w:r>
            <w:r>
              <w:rPr>
                <w:rFonts w:hint="eastAsia"/>
                <w:szCs w:val="22"/>
              </w:rPr>
              <w:t>tt</w:t>
            </w:r>
            <w:r>
              <w:rPr>
                <w:szCs w:val="22"/>
              </w:rPr>
              <w:t>ribute</w:t>
            </w:r>
          </w:p>
        </w:tc>
        <w:tc>
          <w:tcPr>
            <w:tcW w:w="1276" w:type="dxa"/>
          </w:tcPr>
          <w:p>
            <w:pPr>
              <w:rPr>
                <w:szCs w:val="22"/>
              </w:rPr>
            </w:pPr>
            <w:r>
              <w:rPr>
                <w:szCs w:val="22"/>
              </w:rPr>
              <w:t>Continuous</w:t>
            </w:r>
          </w:p>
        </w:tc>
        <w:tc>
          <w:tcPr>
            <w:tcW w:w="992" w:type="dxa"/>
          </w:tcPr>
          <w:p>
            <w:pPr>
              <w:rPr>
                <w:szCs w:val="22"/>
              </w:rPr>
            </w:pPr>
            <w:r>
              <w:rPr>
                <w:rFonts w:hint="eastAsia"/>
                <w:szCs w:val="22"/>
              </w:rPr>
              <w:t>d</w:t>
            </w:r>
            <w:r>
              <w:rPr>
                <w:szCs w:val="22"/>
              </w:rPr>
              <w:t>ouble</w:t>
            </w:r>
          </w:p>
        </w:tc>
        <w:tc>
          <w:tcPr>
            <w:tcW w:w="1276" w:type="dxa"/>
          </w:tcPr>
          <w:p>
            <w:pPr>
              <w:rPr>
                <w:szCs w:val="22"/>
              </w:rPr>
            </w:pPr>
            <w:r>
              <w:rPr>
                <w:szCs w:val="22"/>
              </w:rPr>
              <w:t>(0,1)</w:t>
            </w:r>
          </w:p>
        </w:tc>
        <w:tc>
          <w:tcPr>
            <w:tcW w:w="1498" w:type="dxa"/>
          </w:tcPr>
          <w:p>
            <w:pPr>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pPr>
              <w:rPr>
                <w:szCs w:val="22"/>
              </w:rPr>
            </w:pPr>
            <w:r>
              <w:rPr>
                <w:rFonts w:hint="eastAsia"/>
                <w:szCs w:val="22"/>
              </w:rPr>
              <w:t>k</w:t>
            </w:r>
            <w:r>
              <w:rPr>
                <w:szCs w:val="22"/>
              </w:rPr>
              <w:t>ey</w:t>
            </w:r>
          </w:p>
        </w:tc>
        <w:tc>
          <w:tcPr>
            <w:tcW w:w="1234" w:type="dxa"/>
          </w:tcPr>
          <w:p>
            <w:pPr>
              <w:rPr>
                <w:szCs w:val="22"/>
              </w:rPr>
            </w:pPr>
            <w:r>
              <w:rPr>
                <w:szCs w:val="22"/>
              </w:rPr>
              <w:t>A</w:t>
            </w:r>
            <w:r>
              <w:rPr>
                <w:rFonts w:hint="eastAsia"/>
                <w:szCs w:val="22"/>
              </w:rPr>
              <w:t>tt</w:t>
            </w:r>
            <w:r>
              <w:rPr>
                <w:szCs w:val="22"/>
              </w:rPr>
              <w:t>ribute</w:t>
            </w:r>
          </w:p>
        </w:tc>
        <w:tc>
          <w:tcPr>
            <w:tcW w:w="1276" w:type="dxa"/>
          </w:tcPr>
          <w:p>
            <w:pPr>
              <w:rPr>
                <w:szCs w:val="22"/>
              </w:rPr>
            </w:pPr>
            <w:r>
              <w:rPr>
                <w:szCs w:val="22"/>
              </w:rPr>
              <w:t>Discrete</w:t>
            </w:r>
          </w:p>
        </w:tc>
        <w:tc>
          <w:tcPr>
            <w:tcW w:w="992" w:type="dxa"/>
          </w:tcPr>
          <w:p>
            <w:pPr>
              <w:rPr>
                <w:szCs w:val="22"/>
              </w:rPr>
            </w:pPr>
            <w:r>
              <w:rPr>
                <w:rFonts w:hint="eastAsia"/>
                <w:szCs w:val="22"/>
              </w:rPr>
              <w:t>i</w:t>
            </w:r>
            <w:r>
              <w:rPr>
                <w:szCs w:val="22"/>
              </w:rPr>
              <w:t>nt</w:t>
            </w:r>
          </w:p>
        </w:tc>
        <w:tc>
          <w:tcPr>
            <w:tcW w:w="1276" w:type="dxa"/>
          </w:tcPr>
          <w:p>
            <w:pPr>
              <w:rPr>
                <w:szCs w:val="22"/>
              </w:rPr>
            </w:pPr>
          </w:p>
        </w:tc>
        <w:tc>
          <w:tcPr>
            <w:tcW w:w="1498" w:type="dxa"/>
          </w:tcPr>
          <w:p>
            <w:pPr>
              <w:jc w:val="center"/>
              <w:rPr>
                <w:szCs w:val="22"/>
              </w:rPr>
            </w:pPr>
            <w:r>
              <w:rPr>
                <w:rFonts w:hint="eastAsia"/>
                <w:szCs w:val="22"/>
              </w:rPr>
              <w:t>1</w:t>
            </w:r>
            <w:r>
              <w:rPr>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pPr>
              <w:rPr>
                <w:szCs w:val="22"/>
              </w:rPr>
            </w:pPr>
            <w:r>
              <w:rPr>
                <w:rFonts w:hint="eastAsia"/>
                <w:szCs w:val="22"/>
              </w:rPr>
              <w:t>l</w:t>
            </w:r>
            <w:r>
              <w:rPr>
                <w:szCs w:val="22"/>
              </w:rPr>
              <w:t>iveness</w:t>
            </w:r>
          </w:p>
        </w:tc>
        <w:tc>
          <w:tcPr>
            <w:tcW w:w="1234" w:type="dxa"/>
          </w:tcPr>
          <w:p>
            <w:pPr>
              <w:rPr>
                <w:szCs w:val="22"/>
              </w:rPr>
            </w:pPr>
            <w:r>
              <w:rPr>
                <w:szCs w:val="22"/>
              </w:rPr>
              <w:t>A</w:t>
            </w:r>
            <w:r>
              <w:rPr>
                <w:rFonts w:hint="eastAsia"/>
                <w:szCs w:val="22"/>
              </w:rPr>
              <w:t>tt</w:t>
            </w:r>
            <w:r>
              <w:rPr>
                <w:szCs w:val="22"/>
              </w:rPr>
              <w:t>ribute</w:t>
            </w:r>
          </w:p>
        </w:tc>
        <w:tc>
          <w:tcPr>
            <w:tcW w:w="1276" w:type="dxa"/>
          </w:tcPr>
          <w:p>
            <w:pPr>
              <w:rPr>
                <w:szCs w:val="22"/>
              </w:rPr>
            </w:pPr>
            <w:r>
              <w:rPr>
                <w:szCs w:val="22"/>
              </w:rPr>
              <w:t>Continuous</w:t>
            </w:r>
          </w:p>
        </w:tc>
        <w:tc>
          <w:tcPr>
            <w:tcW w:w="992" w:type="dxa"/>
          </w:tcPr>
          <w:p>
            <w:pPr>
              <w:rPr>
                <w:szCs w:val="22"/>
              </w:rPr>
            </w:pPr>
            <w:r>
              <w:rPr>
                <w:rFonts w:hint="eastAsia"/>
                <w:szCs w:val="22"/>
              </w:rPr>
              <w:t>d</w:t>
            </w:r>
            <w:r>
              <w:rPr>
                <w:szCs w:val="22"/>
              </w:rPr>
              <w:t>ouble</w:t>
            </w:r>
          </w:p>
        </w:tc>
        <w:tc>
          <w:tcPr>
            <w:tcW w:w="1276" w:type="dxa"/>
          </w:tcPr>
          <w:p>
            <w:pPr>
              <w:rPr>
                <w:szCs w:val="22"/>
              </w:rPr>
            </w:pPr>
            <w:r>
              <w:rPr>
                <w:szCs w:val="22"/>
              </w:rPr>
              <w:t>(0.01,0.99)</w:t>
            </w:r>
          </w:p>
        </w:tc>
        <w:tc>
          <w:tcPr>
            <w:tcW w:w="1498" w:type="dxa"/>
          </w:tcPr>
          <w:p>
            <w:pPr>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pPr>
              <w:rPr>
                <w:szCs w:val="22"/>
              </w:rPr>
            </w:pPr>
            <w:r>
              <w:rPr>
                <w:rFonts w:hint="eastAsia"/>
                <w:szCs w:val="22"/>
              </w:rPr>
              <w:t>l</w:t>
            </w:r>
            <w:r>
              <w:rPr>
                <w:szCs w:val="22"/>
              </w:rPr>
              <w:t>oudness</w:t>
            </w:r>
          </w:p>
        </w:tc>
        <w:tc>
          <w:tcPr>
            <w:tcW w:w="1234" w:type="dxa"/>
          </w:tcPr>
          <w:p>
            <w:pPr>
              <w:rPr>
                <w:szCs w:val="22"/>
              </w:rPr>
            </w:pPr>
            <w:r>
              <w:rPr>
                <w:szCs w:val="22"/>
              </w:rPr>
              <w:t>A</w:t>
            </w:r>
            <w:r>
              <w:rPr>
                <w:rFonts w:hint="eastAsia"/>
                <w:szCs w:val="22"/>
              </w:rPr>
              <w:t>tt</w:t>
            </w:r>
            <w:r>
              <w:rPr>
                <w:szCs w:val="22"/>
              </w:rPr>
              <w:t>ribute</w:t>
            </w:r>
          </w:p>
        </w:tc>
        <w:tc>
          <w:tcPr>
            <w:tcW w:w="1276" w:type="dxa"/>
          </w:tcPr>
          <w:p>
            <w:pPr>
              <w:rPr>
                <w:szCs w:val="22"/>
              </w:rPr>
            </w:pPr>
            <w:r>
              <w:rPr>
                <w:szCs w:val="22"/>
              </w:rPr>
              <w:t>Continuous</w:t>
            </w:r>
          </w:p>
        </w:tc>
        <w:tc>
          <w:tcPr>
            <w:tcW w:w="992" w:type="dxa"/>
          </w:tcPr>
          <w:p>
            <w:pPr>
              <w:rPr>
                <w:szCs w:val="22"/>
              </w:rPr>
            </w:pPr>
            <w:r>
              <w:rPr>
                <w:rFonts w:hint="eastAsia"/>
                <w:szCs w:val="22"/>
              </w:rPr>
              <w:t>d</w:t>
            </w:r>
            <w:r>
              <w:rPr>
                <w:szCs w:val="22"/>
              </w:rPr>
              <w:t>ouble</w:t>
            </w:r>
          </w:p>
        </w:tc>
        <w:tc>
          <w:tcPr>
            <w:tcW w:w="1276" w:type="dxa"/>
          </w:tcPr>
          <w:p>
            <w:pPr>
              <w:rPr>
                <w:szCs w:val="22"/>
              </w:rPr>
            </w:pPr>
            <w:r>
              <w:rPr>
                <w:szCs w:val="22"/>
              </w:rPr>
              <w:t>(-38.8,1.58)</w:t>
            </w:r>
          </w:p>
        </w:tc>
        <w:tc>
          <w:tcPr>
            <w:tcW w:w="1498" w:type="dxa"/>
          </w:tcPr>
          <w:p>
            <w:pPr>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pPr>
              <w:rPr>
                <w:szCs w:val="22"/>
              </w:rPr>
            </w:pPr>
            <w:r>
              <w:rPr>
                <w:rFonts w:hint="eastAsia"/>
                <w:szCs w:val="22"/>
              </w:rPr>
              <w:t>a</w:t>
            </w:r>
            <w:r>
              <w:rPr>
                <w:szCs w:val="22"/>
              </w:rPr>
              <w:t>udiomode</w:t>
            </w:r>
          </w:p>
        </w:tc>
        <w:tc>
          <w:tcPr>
            <w:tcW w:w="1234" w:type="dxa"/>
          </w:tcPr>
          <w:p>
            <w:pPr>
              <w:rPr>
                <w:szCs w:val="22"/>
              </w:rPr>
            </w:pPr>
            <w:r>
              <w:rPr>
                <w:szCs w:val="22"/>
              </w:rPr>
              <w:t>A</w:t>
            </w:r>
            <w:r>
              <w:rPr>
                <w:rFonts w:hint="eastAsia"/>
                <w:szCs w:val="22"/>
              </w:rPr>
              <w:t>tt</w:t>
            </w:r>
            <w:r>
              <w:rPr>
                <w:szCs w:val="22"/>
              </w:rPr>
              <w:t>ribute</w:t>
            </w:r>
          </w:p>
        </w:tc>
        <w:tc>
          <w:tcPr>
            <w:tcW w:w="1276" w:type="dxa"/>
          </w:tcPr>
          <w:p>
            <w:pPr>
              <w:rPr>
                <w:szCs w:val="22"/>
              </w:rPr>
            </w:pPr>
            <w:r>
              <w:rPr>
                <w:szCs w:val="22"/>
              </w:rPr>
              <w:t>Discrete</w:t>
            </w:r>
          </w:p>
        </w:tc>
        <w:tc>
          <w:tcPr>
            <w:tcW w:w="992" w:type="dxa"/>
          </w:tcPr>
          <w:p>
            <w:pPr>
              <w:rPr>
                <w:szCs w:val="22"/>
              </w:rPr>
            </w:pPr>
            <w:r>
              <w:rPr>
                <w:rFonts w:hint="eastAsia"/>
                <w:szCs w:val="22"/>
              </w:rPr>
              <w:t>i</w:t>
            </w:r>
            <w:r>
              <w:rPr>
                <w:szCs w:val="22"/>
              </w:rPr>
              <w:t>nt</w:t>
            </w:r>
          </w:p>
        </w:tc>
        <w:tc>
          <w:tcPr>
            <w:tcW w:w="1276" w:type="dxa"/>
          </w:tcPr>
          <w:p>
            <w:pPr>
              <w:rPr>
                <w:szCs w:val="22"/>
              </w:rPr>
            </w:pPr>
          </w:p>
        </w:tc>
        <w:tc>
          <w:tcPr>
            <w:tcW w:w="1498" w:type="dxa"/>
          </w:tcPr>
          <w:p>
            <w:pPr>
              <w:jc w:val="center"/>
              <w:rPr>
                <w:szCs w:val="22"/>
              </w:rPr>
            </w:pPr>
            <w:r>
              <w:rPr>
                <w:rFonts w:hint="eastAsia"/>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pPr>
              <w:rPr>
                <w:szCs w:val="22"/>
              </w:rPr>
            </w:pPr>
            <w:r>
              <w:rPr>
                <w:rFonts w:hint="eastAsia"/>
                <w:szCs w:val="22"/>
              </w:rPr>
              <w:t>s</w:t>
            </w:r>
            <w:r>
              <w:rPr>
                <w:szCs w:val="22"/>
              </w:rPr>
              <w:t>peechiness</w:t>
            </w:r>
          </w:p>
        </w:tc>
        <w:tc>
          <w:tcPr>
            <w:tcW w:w="1234" w:type="dxa"/>
          </w:tcPr>
          <w:p>
            <w:pPr>
              <w:rPr>
                <w:szCs w:val="22"/>
              </w:rPr>
            </w:pPr>
            <w:r>
              <w:rPr>
                <w:szCs w:val="22"/>
              </w:rPr>
              <w:t>A</w:t>
            </w:r>
            <w:r>
              <w:rPr>
                <w:rFonts w:hint="eastAsia"/>
                <w:szCs w:val="22"/>
              </w:rPr>
              <w:t>tt</w:t>
            </w:r>
            <w:r>
              <w:rPr>
                <w:szCs w:val="22"/>
              </w:rPr>
              <w:t>ribute</w:t>
            </w:r>
          </w:p>
        </w:tc>
        <w:tc>
          <w:tcPr>
            <w:tcW w:w="1276" w:type="dxa"/>
          </w:tcPr>
          <w:p>
            <w:pPr>
              <w:rPr>
                <w:szCs w:val="22"/>
              </w:rPr>
            </w:pPr>
            <w:r>
              <w:rPr>
                <w:szCs w:val="22"/>
              </w:rPr>
              <w:t>Continuous</w:t>
            </w:r>
          </w:p>
        </w:tc>
        <w:tc>
          <w:tcPr>
            <w:tcW w:w="992" w:type="dxa"/>
          </w:tcPr>
          <w:p>
            <w:pPr>
              <w:rPr>
                <w:szCs w:val="22"/>
              </w:rPr>
            </w:pPr>
            <w:r>
              <w:rPr>
                <w:rFonts w:hint="eastAsia"/>
                <w:szCs w:val="22"/>
              </w:rPr>
              <w:t>d</w:t>
            </w:r>
            <w:r>
              <w:rPr>
                <w:szCs w:val="22"/>
              </w:rPr>
              <w:t>ouble</w:t>
            </w:r>
          </w:p>
        </w:tc>
        <w:tc>
          <w:tcPr>
            <w:tcW w:w="1276" w:type="dxa"/>
          </w:tcPr>
          <w:p>
            <w:pPr>
              <w:rPr>
                <w:szCs w:val="22"/>
              </w:rPr>
            </w:pPr>
            <w:r>
              <w:rPr>
                <w:szCs w:val="22"/>
              </w:rPr>
              <w:t>(0,0.94)</w:t>
            </w:r>
          </w:p>
        </w:tc>
        <w:tc>
          <w:tcPr>
            <w:tcW w:w="1498" w:type="dxa"/>
          </w:tcPr>
          <w:p>
            <w:pPr>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pPr>
              <w:rPr>
                <w:szCs w:val="22"/>
              </w:rPr>
            </w:pPr>
            <w:r>
              <w:rPr>
                <w:rFonts w:hint="eastAsia"/>
                <w:szCs w:val="22"/>
              </w:rPr>
              <w:t>t</w:t>
            </w:r>
            <w:r>
              <w:rPr>
                <w:szCs w:val="22"/>
              </w:rPr>
              <w:t>empo</w:t>
            </w:r>
          </w:p>
        </w:tc>
        <w:tc>
          <w:tcPr>
            <w:tcW w:w="1234" w:type="dxa"/>
          </w:tcPr>
          <w:p>
            <w:pPr>
              <w:rPr>
                <w:szCs w:val="22"/>
              </w:rPr>
            </w:pPr>
            <w:r>
              <w:rPr>
                <w:szCs w:val="22"/>
              </w:rPr>
              <w:t>A</w:t>
            </w:r>
            <w:r>
              <w:rPr>
                <w:rFonts w:hint="eastAsia"/>
                <w:szCs w:val="22"/>
              </w:rPr>
              <w:t>tt</w:t>
            </w:r>
            <w:r>
              <w:rPr>
                <w:szCs w:val="22"/>
              </w:rPr>
              <w:t>ribute</w:t>
            </w:r>
          </w:p>
        </w:tc>
        <w:tc>
          <w:tcPr>
            <w:tcW w:w="1276" w:type="dxa"/>
          </w:tcPr>
          <w:p>
            <w:pPr>
              <w:rPr>
                <w:szCs w:val="22"/>
              </w:rPr>
            </w:pPr>
            <w:r>
              <w:rPr>
                <w:szCs w:val="22"/>
              </w:rPr>
              <w:t>Continuous</w:t>
            </w:r>
          </w:p>
        </w:tc>
        <w:tc>
          <w:tcPr>
            <w:tcW w:w="992" w:type="dxa"/>
          </w:tcPr>
          <w:p>
            <w:pPr>
              <w:rPr>
                <w:szCs w:val="22"/>
              </w:rPr>
            </w:pPr>
            <w:r>
              <w:rPr>
                <w:rFonts w:hint="eastAsia"/>
                <w:szCs w:val="22"/>
              </w:rPr>
              <w:t>d</w:t>
            </w:r>
            <w:r>
              <w:rPr>
                <w:szCs w:val="22"/>
              </w:rPr>
              <w:t>ouble</w:t>
            </w:r>
          </w:p>
        </w:tc>
        <w:tc>
          <w:tcPr>
            <w:tcW w:w="1276" w:type="dxa"/>
          </w:tcPr>
          <w:p>
            <w:pPr>
              <w:rPr>
                <w:szCs w:val="22"/>
              </w:rPr>
            </w:pPr>
            <w:r>
              <w:rPr>
                <w:szCs w:val="22"/>
              </w:rPr>
              <w:t>(0,242)</w:t>
            </w:r>
          </w:p>
        </w:tc>
        <w:tc>
          <w:tcPr>
            <w:tcW w:w="1498" w:type="dxa"/>
          </w:tcPr>
          <w:p>
            <w:pPr>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pPr>
              <w:rPr>
                <w:szCs w:val="22"/>
              </w:rPr>
            </w:pPr>
            <w:r>
              <w:rPr>
                <w:rFonts w:hint="eastAsia"/>
                <w:szCs w:val="22"/>
              </w:rPr>
              <w:t>t</w:t>
            </w:r>
            <w:r>
              <w:rPr>
                <w:szCs w:val="22"/>
              </w:rPr>
              <w:t>imesignature</w:t>
            </w:r>
          </w:p>
        </w:tc>
        <w:tc>
          <w:tcPr>
            <w:tcW w:w="1234" w:type="dxa"/>
          </w:tcPr>
          <w:p>
            <w:pPr>
              <w:rPr>
                <w:szCs w:val="22"/>
              </w:rPr>
            </w:pPr>
            <w:r>
              <w:rPr>
                <w:szCs w:val="22"/>
              </w:rPr>
              <w:t>A</w:t>
            </w:r>
            <w:r>
              <w:rPr>
                <w:rFonts w:hint="eastAsia"/>
                <w:szCs w:val="22"/>
              </w:rPr>
              <w:t>tt</w:t>
            </w:r>
            <w:r>
              <w:rPr>
                <w:szCs w:val="22"/>
              </w:rPr>
              <w:t>ribute</w:t>
            </w:r>
          </w:p>
        </w:tc>
        <w:tc>
          <w:tcPr>
            <w:tcW w:w="1276" w:type="dxa"/>
          </w:tcPr>
          <w:p>
            <w:pPr>
              <w:rPr>
                <w:szCs w:val="22"/>
              </w:rPr>
            </w:pPr>
            <w:r>
              <w:rPr>
                <w:szCs w:val="22"/>
              </w:rPr>
              <w:t>Discrete</w:t>
            </w:r>
          </w:p>
        </w:tc>
        <w:tc>
          <w:tcPr>
            <w:tcW w:w="992" w:type="dxa"/>
          </w:tcPr>
          <w:p>
            <w:pPr>
              <w:rPr>
                <w:szCs w:val="22"/>
              </w:rPr>
            </w:pPr>
            <w:r>
              <w:rPr>
                <w:rFonts w:hint="eastAsia"/>
                <w:szCs w:val="22"/>
              </w:rPr>
              <w:t>i</w:t>
            </w:r>
            <w:r>
              <w:rPr>
                <w:szCs w:val="22"/>
              </w:rPr>
              <w:t>nt</w:t>
            </w:r>
          </w:p>
        </w:tc>
        <w:tc>
          <w:tcPr>
            <w:tcW w:w="1276" w:type="dxa"/>
          </w:tcPr>
          <w:p>
            <w:pPr>
              <w:rPr>
                <w:szCs w:val="22"/>
              </w:rPr>
            </w:pPr>
          </w:p>
        </w:tc>
        <w:tc>
          <w:tcPr>
            <w:tcW w:w="1498" w:type="dxa"/>
          </w:tcPr>
          <w:p>
            <w:pPr>
              <w:jc w:val="center"/>
              <w:rPr>
                <w:szCs w:val="22"/>
              </w:rPr>
            </w:pPr>
            <w:r>
              <w:rPr>
                <w:rFonts w:hint="eastAsia"/>
                <w:szCs w:val="22"/>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pPr>
              <w:rPr>
                <w:szCs w:val="22"/>
              </w:rPr>
            </w:pPr>
            <w:r>
              <w:rPr>
                <w:rFonts w:hint="eastAsia"/>
                <w:szCs w:val="22"/>
              </w:rPr>
              <w:t>a</w:t>
            </w:r>
            <w:r>
              <w:rPr>
                <w:szCs w:val="22"/>
              </w:rPr>
              <w:t>udiovalence</w:t>
            </w:r>
          </w:p>
        </w:tc>
        <w:tc>
          <w:tcPr>
            <w:tcW w:w="1234" w:type="dxa"/>
          </w:tcPr>
          <w:p>
            <w:pPr>
              <w:rPr>
                <w:szCs w:val="22"/>
              </w:rPr>
            </w:pPr>
            <w:r>
              <w:rPr>
                <w:szCs w:val="22"/>
              </w:rPr>
              <w:t>A</w:t>
            </w:r>
            <w:r>
              <w:rPr>
                <w:rFonts w:hint="eastAsia"/>
                <w:szCs w:val="22"/>
              </w:rPr>
              <w:t>tt</w:t>
            </w:r>
            <w:r>
              <w:rPr>
                <w:szCs w:val="22"/>
              </w:rPr>
              <w:t>ribute</w:t>
            </w:r>
          </w:p>
        </w:tc>
        <w:tc>
          <w:tcPr>
            <w:tcW w:w="1276" w:type="dxa"/>
          </w:tcPr>
          <w:p>
            <w:pPr>
              <w:rPr>
                <w:szCs w:val="22"/>
              </w:rPr>
            </w:pPr>
            <w:r>
              <w:rPr>
                <w:szCs w:val="22"/>
              </w:rPr>
              <w:t>Continuous</w:t>
            </w:r>
          </w:p>
        </w:tc>
        <w:tc>
          <w:tcPr>
            <w:tcW w:w="992" w:type="dxa"/>
          </w:tcPr>
          <w:p>
            <w:pPr>
              <w:rPr>
                <w:szCs w:val="22"/>
              </w:rPr>
            </w:pPr>
            <w:r>
              <w:rPr>
                <w:rFonts w:hint="eastAsia"/>
                <w:szCs w:val="22"/>
              </w:rPr>
              <w:t>d</w:t>
            </w:r>
            <w:r>
              <w:rPr>
                <w:szCs w:val="22"/>
              </w:rPr>
              <w:t>ouble</w:t>
            </w:r>
          </w:p>
        </w:tc>
        <w:tc>
          <w:tcPr>
            <w:tcW w:w="1276" w:type="dxa"/>
          </w:tcPr>
          <w:p>
            <w:pPr>
              <w:rPr>
                <w:szCs w:val="22"/>
              </w:rPr>
            </w:pPr>
            <w:r>
              <w:rPr>
                <w:szCs w:val="22"/>
              </w:rPr>
              <w:t>(0,0.98)</w:t>
            </w:r>
          </w:p>
        </w:tc>
        <w:tc>
          <w:tcPr>
            <w:tcW w:w="1498" w:type="dxa"/>
          </w:tcPr>
          <w:p>
            <w:pPr>
              <w:jc w:val="center"/>
              <w:rPr>
                <w:szCs w:val="22"/>
              </w:rPr>
            </w:pPr>
          </w:p>
        </w:tc>
      </w:tr>
    </w:tbl>
    <w:p/>
    <w:p/>
    <w:p>
      <w:r>
        <w:rPr>
          <w:rFonts w:hint="eastAsia"/>
          <w:b/>
        </w:rPr>
        <w:t>目标</w:t>
      </w:r>
      <w:r>
        <w:rPr>
          <w:rFonts w:hint="eastAsia"/>
        </w:rPr>
        <w:t>：根据歌曲指标预测歌曲流行度。</w:t>
      </w:r>
    </w:p>
    <w:p>
      <w:pPr>
        <w:pStyle w:val="3"/>
      </w:pPr>
      <w:r>
        <w:rPr>
          <w:rFonts w:hint="eastAsia"/>
        </w:rPr>
        <w:t>教学要求</w:t>
      </w:r>
    </w:p>
    <w:p>
      <w:pPr>
        <w:pStyle w:val="21"/>
        <w:numPr>
          <w:ilvl w:val="0"/>
          <w:numId w:val="1"/>
        </w:numPr>
        <w:ind w:firstLineChars="0"/>
      </w:pPr>
      <w:r>
        <w:rPr>
          <w:rFonts w:hint="eastAsia"/>
        </w:rPr>
        <w:t>掌握线性回归模型的原理与构建</w:t>
      </w:r>
    </w:p>
    <w:p>
      <w:pPr>
        <w:pStyle w:val="21"/>
        <w:numPr>
          <w:ilvl w:val="0"/>
          <w:numId w:val="1"/>
        </w:numPr>
        <w:ind w:firstLineChars="0"/>
      </w:pPr>
      <w:r>
        <w:rPr>
          <w:rFonts w:hint="eastAsia"/>
        </w:rPr>
        <w:t>掌握数据集预处理的常用方法，包括属性转换、归一化、共线性（</w:t>
      </w:r>
      <w:r>
        <w:t>multicollinearity</w:t>
      </w:r>
      <w:r>
        <w:rPr>
          <w:rFonts w:hint="eastAsia"/>
        </w:rPr>
        <w:t>）的检测与处理等。其中关于共线性要求自学，可参考</w:t>
      </w:r>
      <w:sdt>
        <w:sdtPr>
          <w:rPr>
            <w:rFonts w:hint="eastAsia"/>
          </w:rPr>
          <w:id w:val="-1809698625"/>
        </w:sdtPr>
        <w:sdtEndPr>
          <w:rPr>
            <w:rFonts w:hint="eastAsia"/>
          </w:rPr>
        </w:sdtEndPr>
        <w:sdtContent>
          <w:r>
            <w:fldChar w:fldCharType="begin"/>
          </w:r>
          <w:r>
            <w:instrText xml:space="preserve"> </w:instrText>
          </w:r>
          <w:r>
            <w:rPr>
              <w:rFonts w:hint="eastAsia"/>
            </w:rPr>
            <w:instrText xml:space="preserve">CITATION 流病与 \l 2052</w:instrText>
          </w:r>
          <w:r>
            <w:instrText xml:space="preserve"> </w:instrText>
          </w:r>
          <w:r>
            <w:fldChar w:fldCharType="separate"/>
          </w:r>
          <w:r>
            <w:t xml:space="preserve"> [1]</w:t>
          </w:r>
          <w:r>
            <w:fldChar w:fldCharType="end"/>
          </w:r>
        </w:sdtContent>
      </w:sdt>
      <w:sdt>
        <w:sdtPr>
          <w:rPr>
            <w:rFonts w:hint="eastAsia"/>
          </w:rPr>
          <w:id w:val="1304121288"/>
        </w:sdtPr>
        <w:sdtEndPr>
          <w:rPr>
            <w:rFonts w:hint="eastAsia"/>
          </w:rPr>
        </w:sdtEndPr>
        <w:sdtContent>
          <w:r>
            <w:fldChar w:fldCharType="begin"/>
          </w:r>
          <w:r>
            <w:instrText xml:space="preserve"> </w:instrText>
          </w:r>
          <w:r>
            <w:rPr>
              <w:rFonts w:hint="eastAsia"/>
            </w:rPr>
            <w:instrText xml:space="preserve">CITATION 喀喀湖 \l 2052</w:instrText>
          </w:r>
          <w:r>
            <w:instrText xml:space="preserve"> </w:instrText>
          </w:r>
          <w:r>
            <w:fldChar w:fldCharType="separate"/>
          </w:r>
          <w:r>
            <w:t xml:space="preserve"> [2]</w:t>
          </w:r>
          <w:r>
            <w:fldChar w:fldCharType="end"/>
          </w:r>
        </w:sdtContent>
      </w:sdt>
      <w:r>
        <w:rPr>
          <w:rFonts w:hint="eastAsia"/>
        </w:rPr>
        <w:t>。</w:t>
      </w:r>
    </w:p>
    <w:p>
      <w:pPr>
        <w:pStyle w:val="21"/>
        <w:numPr>
          <w:ilvl w:val="0"/>
          <w:numId w:val="1"/>
        </w:numPr>
        <w:ind w:firstLineChars="0"/>
      </w:pPr>
      <w:r>
        <w:rPr>
          <w:rFonts w:hint="eastAsia"/>
        </w:rPr>
        <w:t>掌握常用评估方法（本实验中为最基本的单次留出法）</w:t>
      </w:r>
    </w:p>
    <w:p>
      <w:pPr>
        <w:pStyle w:val="21"/>
        <w:numPr>
          <w:ilvl w:val="0"/>
          <w:numId w:val="1"/>
        </w:numPr>
        <w:ind w:firstLineChars="0"/>
      </w:pPr>
      <w:r>
        <w:rPr>
          <w:rFonts w:hint="eastAsia"/>
        </w:rPr>
        <w:t>掌握实验结果的展示方式</w:t>
      </w:r>
    </w:p>
    <w:p>
      <w:pPr>
        <w:pStyle w:val="3"/>
      </w:pPr>
      <w:r>
        <w:rPr>
          <w:rFonts w:hint="eastAsia"/>
        </w:rPr>
        <w:t>实验要求</w:t>
      </w:r>
    </w:p>
    <w:p>
      <w:pPr>
        <w:pStyle w:val="21"/>
        <w:numPr>
          <w:ilvl w:val="0"/>
          <w:numId w:val="2"/>
        </w:numPr>
        <w:ind w:firstLineChars="0"/>
      </w:pPr>
      <w:r>
        <w:t>使用Python编程</w:t>
      </w:r>
      <w:r>
        <w:rPr>
          <w:rFonts w:hint="eastAsia"/>
        </w:rPr>
        <w:t>构建线性回归</w:t>
      </w:r>
      <w:r>
        <w:t>算法，预测</w:t>
      </w:r>
      <w:r>
        <w:rPr>
          <w:rFonts w:hint="eastAsia"/>
        </w:rPr>
        <w:t>音乐流行度</w:t>
      </w:r>
      <w:r>
        <w:t>。</w:t>
      </w:r>
    </w:p>
    <w:p>
      <w:pPr>
        <w:pStyle w:val="21"/>
        <w:numPr>
          <w:ilvl w:val="0"/>
          <w:numId w:val="2"/>
        </w:numPr>
        <w:ind w:firstLineChars="0"/>
      </w:pPr>
      <w:r>
        <w:rPr>
          <w:rFonts w:hint="eastAsia"/>
        </w:rPr>
        <w:t>数据集预处理：</w:t>
      </w:r>
    </w:p>
    <w:p>
      <w:pPr>
        <w:pStyle w:val="21"/>
        <w:numPr>
          <w:ilvl w:val="1"/>
          <w:numId w:val="2"/>
        </w:numPr>
        <w:ind w:firstLineChars="0"/>
      </w:pPr>
      <w:r>
        <w:rPr>
          <w:rFonts w:hint="eastAsia"/>
        </w:rPr>
        <w:t>离散属性连续化</w:t>
      </w:r>
    </w:p>
    <w:p>
      <w:pPr>
        <w:pStyle w:val="21"/>
        <w:numPr>
          <w:ilvl w:val="1"/>
          <w:numId w:val="2"/>
        </w:numPr>
        <w:ind w:firstLineChars="0"/>
      </w:pPr>
      <w:r>
        <w:rPr>
          <w:rFonts w:hint="eastAsia"/>
        </w:rPr>
        <w:t>连续属性归一化n</w:t>
      </w:r>
      <w:r>
        <w:t xml:space="preserve">ormalization </w:t>
      </w:r>
    </w:p>
    <w:p>
      <w:pPr>
        <w:pStyle w:val="21"/>
        <w:numPr>
          <w:ilvl w:val="1"/>
          <w:numId w:val="2"/>
        </w:numPr>
        <w:ind w:firstLineChars="0"/>
      </w:pPr>
      <w:r>
        <w:rPr>
          <w:rFonts w:hint="eastAsia"/>
        </w:rPr>
        <w:t>共线性的检测与处理</w:t>
      </w:r>
    </w:p>
    <w:p>
      <w:pPr>
        <w:pStyle w:val="21"/>
        <w:numPr>
          <w:ilvl w:val="0"/>
          <w:numId w:val="2"/>
        </w:numPr>
        <w:ind w:firstLineChars="0"/>
      </w:pPr>
      <w:r>
        <w:t>使用80%的数据集进行训练，20%的数据集进行测试。需要报告训练误差和测试误差</w:t>
      </w:r>
      <w:r>
        <w:rPr>
          <w:rFonts w:hint="eastAsia"/>
        </w:rPr>
        <w:t>。</w:t>
      </w:r>
      <w:r>
        <w:t>请注意，需要保证模型能够在测试集上进行准确的预测。</w:t>
      </w:r>
    </w:p>
    <w:p>
      <w:pPr>
        <w:pStyle w:val="21"/>
        <w:numPr>
          <w:ilvl w:val="0"/>
          <w:numId w:val="2"/>
        </w:numPr>
        <w:ind w:firstLineChars="0"/>
      </w:pPr>
      <w:r>
        <w:t>使用可视化技术来展示你的模型和数据集。可以使用Python的Matplotlib库来完成该任务。</w:t>
      </w:r>
      <w:r>
        <w:rPr>
          <w:rFonts w:hint="eastAsia"/>
        </w:rPr>
        <w:t>（可选）</w:t>
      </w:r>
    </w:p>
    <w:p>
      <w:pPr>
        <w:pStyle w:val="21"/>
        <w:numPr>
          <w:ilvl w:val="0"/>
          <w:numId w:val="3"/>
        </w:numPr>
        <w:ind w:firstLineChars="0"/>
      </w:pPr>
      <w:r>
        <w:rPr>
          <w:rFonts w:hint="eastAsia"/>
        </w:rPr>
        <w:t>对数据集的展示，比如，属性值的分布情况、属性与标记之间的相关性等。</w:t>
      </w:r>
    </w:p>
    <w:p>
      <w:pPr>
        <w:pStyle w:val="21"/>
        <w:numPr>
          <w:ilvl w:val="0"/>
          <w:numId w:val="3"/>
        </w:numPr>
        <w:ind w:firstLineChars="0"/>
        <w:rPr>
          <w:rFonts w:hint="eastAsia"/>
        </w:rPr>
      </w:pPr>
      <w:r>
        <w:rPr>
          <w:rFonts w:hint="eastAsia"/>
        </w:rPr>
        <w:t>对模型的展示，比如在二维空间中展示模型对应的线</w:t>
      </w:r>
    </w:p>
    <w:p>
      <w:pPr>
        <w:pStyle w:val="21"/>
        <w:numPr>
          <w:ilvl w:val="0"/>
          <w:numId w:val="2"/>
        </w:numPr>
        <w:ind w:firstLineChars="0"/>
      </w:pPr>
      <w:r>
        <w:t>报告模型的性能和准确率。可以使用Python的Scikit-Learn库中的mean_squared_error函数来计算均方误差（MSE）。</w:t>
      </w:r>
    </w:p>
    <w:p>
      <w:pPr>
        <w:pStyle w:val="21"/>
        <w:numPr>
          <w:ilvl w:val="0"/>
          <w:numId w:val="2"/>
        </w:numPr>
        <w:ind w:firstLineChars="0"/>
      </w:pPr>
      <w:r>
        <w:rPr>
          <w:rFonts w:hint="eastAsia"/>
        </w:rPr>
        <w:t>提交代码与报告，其中报告内容包括以下几个部分：</w:t>
      </w:r>
    </w:p>
    <w:p>
      <w:pPr>
        <w:pStyle w:val="21"/>
        <w:numPr>
          <w:ilvl w:val="1"/>
          <w:numId w:val="2"/>
        </w:numPr>
        <w:ind w:firstLineChars="0"/>
      </w:pPr>
      <w:r>
        <w:rPr>
          <w:rFonts w:hint="eastAsia"/>
        </w:rPr>
        <w:t>预处理</w:t>
      </w:r>
    </w:p>
    <w:p>
      <w:pPr>
        <w:pStyle w:val="21"/>
        <w:numPr>
          <w:ilvl w:val="1"/>
          <w:numId w:val="2"/>
        </w:numPr>
        <w:ind w:firstLineChars="0"/>
      </w:pPr>
      <w:r>
        <w:rPr>
          <w:rFonts w:hint="eastAsia"/>
        </w:rPr>
        <w:t>实验设置，包括实验评估方法与性能度量</w:t>
      </w:r>
    </w:p>
    <w:p>
      <w:pPr>
        <w:pStyle w:val="21"/>
        <w:numPr>
          <w:ilvl w:val="1"/>
          <w:numId w:val="2"/>
        </w:numPr>
        <w:ind w:firstLineChars="0"/>
      </w:pPr>
      <w:r>
        <w:rPr>
          <w:rFonts w:hint="eastAsia"/>
        </w:rPr>
        <w:t>实验结果，包括模型性能，可视化结果展示</w:t>
      </w:r>
    </w:p>
    <w:p>
      <w:pPr>
        <w:pStyle w:val="21"/>
        <w:numPr>
          <w:ilvl w:val="1"/>
          <w:numId w:val="2"/>
        </w:numPr>
        <w:ind w:firstLineChars="0"/>
      </w:pPr>
      <w:r>
        <w:rPr>
          <w:rFonts w:hint="eastAsia"/>
        </w:rPr>
        <w:t>结果分析</w:t>
      </w:r>
    </w:p>
    <w:p>
      <w:pPr>
        <w:pStyle w:val="21"/>
        <w:numPr>
          <w:ilvl w:val="1"/>
          <w:numId w:val="2"/>
        </w:numPr>
        <w:ind w:firstLineChars="0"/>
      </w:pPr>
      <w:r>
        <w:rPr>
          <w:rFonts w:hint="eastAsia"/>
        </w:rPr>
        <w:t>代码附录</w:t>
      </w: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提交要求</w:t>
      </w:r>
    </w:p>
    <w:p>
      <w:pPr>
        <w:pStyle w:val="21"/>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提交的文件为压缩文件，其中包含：.</w:t>
      </w:r>
      <w:r>
        <w:rPr>
          <w:color w:val="000000" w:themeColor="text1"/>
          <w14:textFill>
            <w14:solidFill>
              <w14:schemeClr w14:val="tx1"/>
            </w14:solidFill>
          </w14:textFill>
        </w:rPr>
        <w:t>py</w:t>
      </w:r>
      <w:r>
        <w:rPr>
          <w:rFonts w:hint="eastAsia"/>
          <w:color w:val="000000" w:themeColor="text1"/>
          <w14:textFill>
            <w14:solidFill>
              <w14:schemeClr w14:val="tx1"/>
            </w14:solidFill>
          </w14:textFill>
        </w:rPr>
        <w:t>代码文件或者.ipynb（不接受其它后缀的代码文件）、实验报告（doc或.</w:t>
      </w:r>
      <w:r>
        <w:rPr>
          <w:color w:val="000000" w:themeColor="text1"/>
          <w14:textFill>
            <w14:solidFill>
              <w14:schemeClr w14:val="tx1"/>
            </w14:solidFill>
          </w14:textFill>
        </w:rPr>
        <w:t>docx</w:t>
      </w:r>
      <w:r>
        <w:rPr>
          <w:rFonts w:hint="eastAsia"/>
          <w:color w:val="000000" w:themeColor="text1"/>
          <w14:textFill>
            <w14:solidFill>
              <w14:schemeClr w14:val="tx1"/>
            </w14:solidFill>
          </w14:textFill>
        </w:rPr>
        <w:t>），可能包含：模型文件（训练代码和预测代码分开的话需要）、运行脚本（视自己情况而定）</w:t>
      </w:r>
    </w:p>
    <w:p>
      <w:pPr>
        <w:pStyle w:val="21"/>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提交的报告为doc或docx，代码需要复制后放在附录中。</w:t>
      </w:r>
    </w:p>
    <w:p>
      <w:pPr>
        <w:pStyle w:val="21"/>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提交的代码需要一键运行，或者命令行（脚本）直接运行。（脚本运行需要注意路径）</w:t>
      </w:r>
    </w:p>
    <w:p>
      <w:pPr>
        <w:pStyle w:val="21"/>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模型使用pickle库保存。用法参照：</w:t>
      </w:r>
    </w:p>
    <w:p>
      <w:pPr>
        <w:pStyle w:val="21"/>
        <w:ind w:left="720" w:firstLine="0" w:firstLineChars="0"/>
        <w:rPr>
          <w:color w:val="000000" w:themeColor="text1"/>
          <w14:textFill>
            <w14:solidFill>
              <w14:schemeClr w14:val="tx1"/>
            </w14:solidFill>
          </w14:textFill>
        </w:rPr>
      </w:pPr>
      <w:r>
        <w:fldChar w:fldCharType="begin"/>
      </w:r>
      <w:r>
        <w:instrText xml:space="preserve"> HYPERLINK "https://blog.csdn.net/vincent_duan/article/details/121276754" </w:instrText>
      </w:r>
      <w:r>
        <w:fldChar w:fldCharType="separate"/>
      </w:r>
      <w:r>
        <w:rPr>
          <w:rStyle w:val="14"/>
          <w:color w:val="000000" w:themeColor="text1"/>
          <w14:textFill>
            <w14:solidFill>
              <w14:schemeClr w14:val="tx1"/>
            </w14:solidFill>
          </w14:textFill>
        </w:rPr>
        <w:t>https://blog.csdn.net/vincent_duan/article/details/121276754</w:t>
      </w:r>
      <w:r>
        <w:rPr>
          <w:rStyle w:val="14"/>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 xml:space="preserve"> </w:t>
      </w:r>
    </w:p>
    <w:p>
      <w:pPr>
        <w:pStyle w:val="21"/>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不要包含太多库导致批改设备运行时报错（没用到的库尽量不要导入）。</w:t>
      </w:r>
    </w:p>
    <w:p>
      <w:pPr>
        <w:pStyle w:val="21"/>
        <w:ind w:left="720" w:firstLine="0" w:firstLineChars="0"/>
      </w:pPr>
    </w:p>
    <w:p>
      <w:pPr>
        <w:pStyle w:val="21"/>
        <w:ind w:left="720" w:firstLine="0" w:firstLineChars="0"/>
      </w:pPr>
    </w:p>
    <w:sdt>
      <w:sdtPr>
        <w:rPr>
          <w:lang w:val="zh-CN"/>
        </w:rPr>
        <w:id w:val="-619995639"/>
        <w:docPartObj>
          <w:docPartGallery w:val="AutoText"/>
        </w:docPartObj>
      </w:sdtPr>
      <w:sdtEndPr>
        <w:rPr>
          <w:b/>
          <w:bCs/>
          <w:lang w:val="en-US"/>
        </w:rPr>
      </w:sdtEndPr>
      <w:sdtContent>
        <w:p>
          <w:r>
            <w:rPr>
              <w:rFonts w:hint="eastAsia"/>
              <w:sz w:val="24"/>
              <w:lang w:val="zh-CN"/>
            </w:rPr>
            <w:t>参考文献</w:t>
          </w:r>
          <w:r>
            <w:fldChar w:fldCharType="begin"/>
          </w:r>
          <w:r>
            <w:instrText xml:space="preserve">BIBLIOGRAPHY</w:instrText>
          </w:r>
          <w:r>
            <w:fldChar w:fldCharType="separate"/>
          </w:r>
        </w:p>
        <w:tbl>
          <w:tblPr>
            <w:tblStyle w:val="10"/>
            <w:tblW w:w="5000" w:type="pct"/>
            <w:tblCellSpacing w:w="15" w:type="dxa"/>
            <w:tblInd w:w="0" w:type="dxa"/>
            <w:tblLayout w:type="autofit"/>
            <w:tblCellMar>
              <w:top w:w="15" w:type="dxa"/>
              <w:left w:w="15" w:type="dxa"/>
              <w:bottom w:w="15" w:type="dxa"/>
              <w:right w:w="15" w:type="dxa"/>
            </w:tblCellMar>
          </w:tblPr>
          <w:tblGrid>
            <w:gridCol w:w="309"/>
            <w:gridCol w:w="8081"/>
          </w:tblGrid>
          <w:tr>
            <w:tblPrEx>
              <w:tblCellMar>
                <w:top w:w="15" w:type="dxa"/>
                <w:left w:w="15" w:type="dxa"/>
                <w:bottom w:w="15" w:type="dxa"/>
                <w:right w:w="15" w:type="dxa"/>
              </w:tblCellMar>
            </w:tblPrEx>
            <w:trPr>
              <w:tblCellSpacing w:w="15" w:type="dxa"/>
            </w:trPr>
            <w:tc>
              <w:tcPr>
                <w:tcW w:w="50" w:type="pct"/>
              </w:tcPr>
              <w:p>
                <w:pPr>
                  <w:pStyle w:val="24"/>
                  <w:rPr>
                    <w:kern w:val="0"/>
                    <w:sz w:val="24"/>
                  </w:rPr>
                </w:pPr>
                <w:r>
                  <w:rPr>
                    <w:rFonts w:hint="eastAsia"/>
                  </w:rPr>
                  <w:t xml:space="preserve">[1] </w:t>
                </w:r>
              </w:p>
            </w:tc>
            <w:tc>
              <w:tcPr>
                <w:tcW w:w="0" w:type="auto"/>
              </w:tcPr>
              <w:p>
                <w:pPr>
                  <w:pStyle w:val="24"/>
                  <w:rPr>
                    <w:rFonts w:hint="eastAsia"/>
                  </w:rPr>
                </w:pPr>
                <w:r>
                  <w:rPr>
                    <w:rFonts w:hint="eastAsia"/>
                  </w:rPr>
                  <w:t>流病与统计, “一看就懂的多重共线性,” [联机]. Available: https://zhuanlan.zhihu.com/p/355241680</w:t>
                </w:r>
              </w:p>
            </w:tc>
          </w:tr>
          <w:tr>
            <w:tblPrEx>
              <w:tblCellMar>
                <w:top w:w="15" w:type="dxa"/>
                <w:left w:w="15" w:type="dxa"/>
                <w:bottom w:w="15" w:type="dxa"/>
                <w:right w:w="15" w:type="dxa"/>
              </w:tblCellMar>
            </w:tblPrEx>
            <w:trPr>
              <w:tblCellSpacing w:w="15" w:type="dxa"/>
            </w:trPr>
            <w:tc>
              <w:tcPr>
                <w:tcW w:w="50" w:type="pct"/>
              </w:tcPr>
              <w:p>
                <w:pPr>
                  <w:pStyle w:val="24"/>
                </w:pPr>
                <w:r>
                  <w:rPr>
                    <w:rFonts w:hint="eastAsia"/>
                  </w:rPr>
                  <w:t xml:space="preserve">[2] </w:t>
                </w:r>
              </w:p>
            </w:tc>
            <w:tc>
              <w:tcPr>
                <w:tcW w:w="0" w:type="auto"/>
              </w:tcPr>
              <w:p>
                <w:pPr>
                  <w:pStyle w:val="24"/>
                </w:pPr>
                <w:r>
                  <w:rPr>
                    <w:rFonts w:hint="eastAsia"/>
                  </w:rPr>
                  <w:t>喀喀湖, “线性回归的决定系数,” [联机]. Available: https://blog.csdn.net/weixin_44005185/article/details/121273629</w:t>
                </w:r>
              </w:p>
            </w:tc>
          </w:tr>
        </w:tbl>
        <w:p/>
        <w:p>
          <w:r>
            <w:rPr>
              <w:b/>
              <w:bCs/>
            </w:rPr>
            <w:fldChar w:fldCharType="end"/>
          </w:r>
        </w:p>
      </w:sdtContent>
    </w:sdt>
    <w:p>
      <w:pPr>
        <w:widowControl/>
        <w:jc w:val="left"/>
        <w:rPr>
          <w:rFonts w:asciiTheme="majorHAnsi" w:hAnsiTheme="majorHAnsi" w:eastAsiaTheme="majorEastAsia" w:cstheme="majorBidi"/>
          <w:b/>
          <w:bCs/>
          <w:sz w:val="30"/>
          <w:szCs w:val="32"/>
        </w:rPr>
      </w:pPr>
      <w:r>
        <w:br w:type="page"/>
      </w:r>
    </w:p>
    <w:p>
      <w:pPr>
        <w:pStyle w:val="3"/>
      </w:pPr>
      <w:r>
        <w:rPr>
          <w:rFonts w:hint="eastAsia"/>
        </w:rPr>
        <w:t>附录 关于共线性问题的相关说明</w:t>
      </w:r>
    </w:p>
    <w:p>
      <w:pPr>
        <w:widowControl/>
        <w:jc w:val="left"/>
        <w:rPr>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共线性检测是回归问题中一个重要的问题，可以使用多种方法进行检测，以下是一个使用Python语言实现的基于方差膨胀因子（VIF）的共线性检测代码：</w:t>
      </w:r>
    </w:p>
    <w:p>
      <w:pPr>
        <w:rPr>
          <w:color w:val="000000" w:themeColor="text1"/>
          <w14:textFill>
            <w14:solidFill>
              <w14:schemeClr w14:val="tx1"/>
            </w14:solidFill>
          </w14:textFill>
        </w:rPr>
      </w:pPr>
      <w:r>
        <w:rPr>
          <w:color w:val="000000" w:themeColor="text1"/>
          <w14:textFill>
            <w14:solidFill>
              <w14:schemeClr w14:val="tx1"/>
            </w14:solidFill>
          </w14:textFill>
        </w:rPr>
        <w:t>import pandas as pd</w:t>
      </w:r>
    </w:p>
    <w:p>
      <w:pPr>
        <w:rPr>
          <w:color w:val="000000" w:themeColor="text1"/>
          <w14:textFill>
            <w14:solidFill>
              <w14:schemeClr w14:val="tx1"/>
            </w14:solidFill>
          </w14:textFill>
        </w:rPr>
      </w:pPr>
      <w:r>
        <w:rPr>
          <w:color w:val="000000" w:themeColor="text1"/>
          <w14:textFill>
            <w14:solidFill>
              <w14:schemeClr w14:val="tx1"/>
            </w14:solidFill>
          </w14:textFill>
        </w:rPr>
        <w:t>import numpy as np</w:t>
      </w:r>
    </w:p>
    <w:p>
      <w:pPr>
        <w:rPr>
          <w:color w:val="000000" w:themeColor="text1"/>
          <w14:textFill>
            <w14:solidFill>
              <w14:schemeClr w14:val="tx1"/>
            </w14:solidFill>
          </w14:textFill>
        </w:rPr>
      </w:pPr>
      <w:r>
        <w:rPr>
          <w:color w:val="000000" w:themeColor="text1"/>
          <w14:textFill>
            <w14:solidFill>
              <w14:schemeClr w14:val="tx1"/>
            </w14:solidFill>
          </w14:textFill>
        </w:rPr>
        <w:t>from statsmodels.stats.outliers_influence import variance_inflation_factor</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假设数据存在一个名为"df"的DataFrame对象，其中包含四个属性x1、x2、x3和x4。</w:t>
      </w:r>
    </w:p>
    <w:p>
      <w:pPr>
        <w:rPr>
          <w:color w:val="000000" w:themeColor="text1"/>
          <w14:textFill>
            <w14:solidFill>
              <w14:schemeClr w14:val="tx1"/>
            </w14:solidFill>
          </w14:textFill>
        </w:rPr>
      </w:pPr>
      <w:r>
        <w:rPr>
          <w:color w:val="000000" w:themeColor="text1"/>
          <w14:textFill>
            <w14:solidFill>
              <w14:schemeClr w14:val="tx1"/>
            </w14:solidFill>
          </w14:textFill>
        </w:rPr>
        <w:t># X为输入属性，y为输出属性</w:t>
      </w:r>
    </w:p>
    <w:p>
      <w:pPr>
        <w:rPr>
          <w:color w:val="000000" w:themeColor="text1"/>
          <w14:textFill>
            <w14:solidFill>
              <w14:schemeClr w14:val="tx1"/>
            </w14:solidFill>
          </w14:textFill>
        </w:rPr>
      </w:pPr>
      <w:r>
        <w:rPr>
          <w:color w:val="000000" w:themeColor="text1"/>
          <w14:textFill>
            <w14:solidFill>
              <w14:schemeClr w14:val="tx1"/>
            </w14:solidFill>
          </w14:textFill>
        </w:rPr>
        <w:t>X = df[['x1', 'x2', 'x3', 'x4']].values</w:t>
      </w:r>
    </w:p>
    <w:p>
      <w:pPr>
        <w:rPr>
          <w:color w:val="000000" w:themeColor="text1"/>
          <w14:textFill>
            <w14:solidFill>
              <w14:schemeClr w14:val="tx1"/>
            </w14:solidFill>
          </w14:textFill>
        </w:rPr>
      </w:pPr>
      <w:r>
        <w:rPr>
          <w:color w:val="000000" w:themeColor="text1"/>
          <w14:textFill>
            <w14:solidFill>
              <w14:schemeClr w14:val="tx1"/>
            </w14:solidFill>
          </w14:textFill>
        </w:rPr>
        <w:t>y = df['y'].values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计算VIF</w:t>
      </w:r>
    </w:p>
    <w:p>
      <w:pPr>
        <w:rPr>
          <w:color w:val="000000" w:themeColor="text1"/>
          <w14:textFill>
            <w14:solidFill>
              <w14:schemeClr w14:val="tx1"/>
            </w14:solidFill>
          </w14:textFill>
        </w:rPr>
      </w:pPr>
      <w:r>
        <w:rPr>
          <w:color w:val="000000" w:themeColor="text1"/>
          <w14:textFill>
            <w14:solidFill>
              <w14:schemeClr w14:val="tx1"/>
            </w14:solidFill>
          </w14:textFill>
        </w:rPr>
        <w:t>vif = pd.DataFrame()</w:t>
      </w:r>
    </w:p>
    <w:p>
      <w:pPr>
        <w:rPr>
          <w:color w:val="000000" w:themeColor="text1"/>
          <w14:textFill>
            <w14:solidFill>
              <w14:schemeClr w14:val="tx1"/>
            </w14:solidFill>
          </w14:textFill>
        </w:rPr>
      </w:pPr>
      <w:r>
        <w:rPr>
          <w:color w:val="000000" w:themeColor="text1"/>
          <w14:textFill>
            <w14:solidFill>
              <w14:schemeClr w14:val="tx1"/>
            </w14:solidFill>
          </w14:textFill>
        </w:rPr>
        <w:t>vif["variables"] = ['x1', 'x2', 'x3', 'x4']</w:t>
      </w:r>
    </w:p>
    <w:p>
      <w:pPr>
        <w:rPr>
          <w:color w:val="000000" w:themeColor="text1"/>
          <w14:textFill>
            <w14:solidFill>
              <w14:schemeClr w14:val="tx1"/>
            </w14:solidFill>
          </w14:textFill>
        </w:rPr>
      </w:pPr>
      <w:r>
        <w:rPr>
          <w:color w:val="000000" w:themeColor="text1"/>
          <w14:textFill>
            <w14:solidFill>
              <w14:schemeClr w14:val="tx1"/>
            </w14:solidFill>
          </w14:textFill>
        </w:rPr>
        <w:t>vif["VIF"] = [variance_inflation_factor(X, i) for i in range(X.shape[1])]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输出结果</w:t>
      </w:r>
    </w:p>
    <w:p>
      <w:pPr>
        <w:rPr>
          <w:color w:val="000000" w:themeColor="text1"/>
          <w14:textFill>
            <w14:solidFill>
              <w14:schemeClr w14:val="tx1"/>
            </w14:solidFill>
          </w14:textFill>
        </w:rPr>
      </w:pPr>
      <w:r>
        <w:rPr>
          <w:color w:val="000000" w:themeColor="text1"/>
          <w14:textFill>
            <w14:solidFill>
              <w14:schemeClr w14:val="tx1"/>
            </w14:solidFill>
          </w14:textFill>
        </w:rPr>
        <w:t>print(vif)</w:t>
      </w:r>
    </w:p>
    <w:p>
      <w:pPr>
        <w:rPr>
          <w:color w:val="000000" w:themeColor="text1"/>
          <w14:textFill>
            <w14:solidFill>
              <w14:schemeClr w14:val="tx1"/>
            </w14:solidFill>
          </w14:textFill>
        </w:rPr>
      </w:pPr>
    </w:p>
    <w:p>
      <w:pPr>
        <w:widowControl/>
        <w:jc w:val="left"/>
        <w:rPr>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在该代码中，使用了statsmodels库中的variance_inflation_factor函数来计算VIF。如果任何一个属性的VIF值大于5，就可以认为存在共线性问题。</w:t>
      </w:r>
    </w:p>
    <w:p>
      <w:pPr>
        <w:rPr>
          <w:color w:val="000000" w:themeColor="text1"/>
          <w14:textFill>
            <w14:solidFill>
              <w14:schemeClr w14:val="tx1"/>
            </w14:solidFill>
          </w14:textFill>
        </w:rPr>
      </w:pPr>
    </w:p>
    <w:p>
      <w:pPr>
        <w:widowControl/>
        <w:jc w:val="left"/>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共线性可以影响模型的稳定性和可靠性，因此需要对其进行处理。以下是一个基于主成分分析（PCA）的共线性处理代码，用于去除共线性：</w:t>
      </w:r>
    </w:p>
    <w:p>
      <w:pPr>
        <w:widowControl/>
        <w:jc w:val="left"/>
        <w:rPr>
          <w:rFonts w:ascii="Segoe UI" w:hAnsi="Segoe UI" w:cs="Segoe UI"/>
          <w:color w:val="000000" w:themeColor="text1"/>
          <w14:textFill>
            <w14:solidFill>
              <w14:schemeClr w14:val="tx1"/>
            </w14:solidFill>
          </w14:textFill>
        </w:rPr>
      </w:pPr>
    </w:p>
    <w:p>
      <w:pPr>
        <w:widowControl/>
        <w:rPr>
          <w:color w:val="000000" w:themeColor="text1"/>
          <w14:textFill>
            <w14:solidFill>
              <w14:schemeClr w14:val="tx1"/>
            </w14:solidFill>
          </w14:textFill>
        </w:rPr>
      </w:pPr>
      <w:r>
        <w:rPr>
          <w:color w:val="000000" w:themeColor="text1"/>
          <w14:textFill>
            <w14:solidFill>
              <w14:schemeClr w14:val="tx1"/>
            </w14:solidFill>
          </w14:textFill>
        </w:rPr>
        <w:t>import pandas as pd</w:t>
      </w:r>
    </w:p>
    <w:p>
      <w:pPr>
        <w:widowControl/>
        <w:rPr>
          <w:color w:val="000000" w:themeColor="text1"/>
          <w14:textFill>
            <w14:solidFill>
              <w14:schemeClr w14:val="tx1"/>
            </w14:solidFill>
          </w14:textFill>
        </w:rPr>
      </w:pPr>
      <w:r>
        <w:rPr>
          <w:color w:val="000000" w:themeColor="text1"/>
          <w14:textFill>
            <w14:solidFill>
              <w14:schemeClr w14:val="tx1"/>
            </w14:solidFill>
          </w14:textFill>
        </w:rPr>
        <w:t>import numpy as np</w:t>
      </w:r>
    </w:p>
    <w:p>
      <w:pPr>
        <w:widowControl/>
        <w:rPr>
          <w:color w:val="000000" w:themeColor="text1"/>
          <w14:textFill>
            <w14:solidFill>
              <w14:schemeClr w14:val="tx1"/>
            </w14:solidFill>
          </w14:textFill>
        </w:rPr>
      </w:pPr>
      <w:r>
        <w:rPr>
          <w:color w:val="000000" w:themeColor="text1"/>
          <w14:textFill>
            <w14:solidFill>
              <w14:schemeClr w14:val="tx1"/>
            </w14:solidFill>
          </w14:textFill>
        </w:rPr>
        <w:t>from sklearn.decomposition import PCA</w:t>
      </w:r>
    </w:p>
    <w:p>
      <w:pPr>
        <w:widowControl/>
        <w:rPr>
          <w:color w:val="000000" w:themeColor="text1"/>
          <w14:textFill>
            <w14:solidFill>
              <w14:schemeClr w14:val="tx1"/>
            </w14:solidFill>
          </w14:textFill>
        </w:rPr>
      </w:pPr>
    </w:p>
    <w:p>
      <w:pPr>
        <w:widowControl/>
        <w:rPr>
          <w:color w:val="000000" w:themeColor="text1"/>
          <w14:textFill>
            <w14:solidFill>
              <w14:schemeClr w14:val="tx1"/>
            </w14:solidFill>
          </w14:textFill>
        </w:rPr>
      </w:pPr>
      <w:r>
        <w:rPr>
          <w:color w:val="000000" w:themeColor="text1"/>
          <w14:textFill>
            <w14:solidFill>
              <w14:schemeClr w14:val="tx1"/>
            </w14:solidFill>
          </w14:textFill>
        </w:rPr>
        <w:t># 假设数据存在一个名为"df"的DataFrame对象，其中包含四个属性x1、x2、x3和x4。</w:t>
      </w:r>
    </w:p>
    <w:p>
      <w:pPr>
        <w:widowControl/>
        <w:rPr>
          <w:color w:val="000000" w:themeColor="text1"/>
          <w14:textFill>
            <w14:solidFill>
              <w14:schemeClr w14:val="tx1"/>
            </w14:solidFill>
          </w14:textFill>
        </w:rPr>
      </w:pPr>
      <w:r>
        <w:rPr>
          <w:color w:val="000000" w:themeColor="text1"/>
          <w14:textFill>
            <w14:solidFill>
              <w14:schemeClr w14:val="tx1"/>
            </w14:solidFill>
          </w14:textFill>
        </w:rPr>
        <w:t># X为输入属性，y为输出属性</w:t>
      </w:r>
    </w:p>
    <w:p>
      <w:pPr>
        <w:widowControl/>
        <w:rPr>
          <w:color w:val="000000" w:themeColor="text1"/>
          <w14:textFill>
            <w14:solidFill>
              <w14:schemeClr w14:val="tx1"/>
            </w14:solidFill>
          </w14:textFill>
        </w:rPr>
      </w:pPr>
      <w:r>
        <w:rPr>
          <w:color w:val="000000" w:themeColor="text1"/>
          <w14:textFill>
            <w14:solidFill>
              <w14:schemeClr w14:val="tx1"/>
            </w14:solidFill>
          </w14:textFill>
        </w:rPr>
        <w:t>X = df[['x1', 'x2', 'x3', 'x4']].values</w:t>
      </w:r>
    </w:p>
    <w:p>
      <w:pPr>
        <w:widowControl/>
        <w:rPr>
          <w:color w:val="000000" w:themeColor="text1"/>
          <w14:textFill>
            <w14:solidFill>
              <w14:schemeClr w14:val="tx1"/>
            </w14:solidFill>
          </w14:textFill>
        </w:rPr>
      </w:pPr>
      <w:r>
        <w:rPr>
          <w:color w:val="000000" w:themeColor="text1"/>
          <w14:textFill>
            <w14:solidFill>
              <w14:schemeClr w14:val="tx1"/>
            </w14:solidFill>
          </w14:textFill>
        </w:rPr>
        <w:t>y = df['y'].values</w:t>
      </w:r>
    </w:p>
    <w:p>
      <w:pPr>
        <w:widowControl/>
        <w:rPr>
          <w:color w:val="000000" w:themeColor="text1"/>
          <w14:textFill>
            <w14:solidFill>
              <w14:schemeClr w14:val="tx1"/>
            </w14:solidFill>
          </w14:textFill>
        </w:rPr>
      </w:pPr>
    </w:p>
    <w:p>
      <w:pPr>
        <w:widowControl/>
        <w:rPr>
          <w:color w:val="000000" w:themeColor="text1"/>
          <w14:textFill>
            <w14:solidFill>
              <w14:schemeClr w14:val="tx1"/>
            </w14:solidFill>
          </w14:textFill>
        </w:rPr>
      </w:pPr>
      <w:r>
        <w:rPr>
          <w:color w:val="000000" w:themeColor="text1"/>
          <w14:textFill>
            <w14:solidFill>
              <w14:schemeClr w14:val="tx1"/>
            </w14:solidFill>
          </w14:textFill>
        </w:rPr>
        <w:t># 使用PCA进行特征降维</w:t>
      </w:r>
    </w:p>
    <w:p>
      <w:pPr>
        <w:widowControl/>
        <w:rPr>
          <w:color w:val="000000" w:themeColor="text1"/>
          <w14:textFill>
            <w14:solidFill>
              <w14:schemeClr w14:val="tx1"/>
            </w14:solidFill>
          </w14:textFill>
        </w:rPr>
      </w:pPr>
      <w:r>
        <w:rPr>
          <w:color w:val="000000" w:themeColor="text1"/>
          <w14:textFill>
            <w14:solidFill>
              <w14:schemeClr w14:val="tx1"/>
            </w14:solidFill>
          </w14:textFill>
        </w:rPr>
        <w:t>pca = PCA(n_components=X.shape[1])</w:t>
      </w:r>
    </w:p>
    <w:p>
      <w:pPr>
        <w:widowControl/>
        <w:rPr>
          <w:color w:val="000000" w:themeColor="text1"/>
          <w14:textFill>
            <w14:solidFill>
              <w14:schemeClr w14:val="tx1"/>
            </w14:solidFill>
          </w14:textFill>
        </w:rPr>
      </w:pPr>
      <w:r>
        <w:rPr>
          <w:color w:val="000000" w:themeColor="text1"/>
          <w14:textFill>
            <w14:solidFill>
              <w14:schemeClr w14:val="tx1"/>
            </w14:solidFill>
          </w14:textFill>
        </w:rPr>
        <w:t>X_pca = pca.fit_transform(X)</w:t>
      </w:r>
    </w:p>
    <w:p>
      <w:pPr>
        <w:widowControl/>
        <w:rPr>
          <w:color w:val="000000" w:themeColor="text1"/>
          <w14:textFill>
            <w14:solidFill>
              <w14:schemeClr w14:val="tx1"/>
            </w14:solidFill>
          </w14:textFill>
        </w:rPr>
      </w:pPr>
    </w:p>
    <w:p>
      <w:pPr>
        <w:widowControl/>
        <w:rPr>
          <w:color w:val="000000" w:themeColor="text1"/>
          <w14:textFill>
            <w14:solidFill>
              <w14:schemeClr w14:val="tx1"/>
            </w14:solidFill>
          </w14:textFill>
        </w:rPr>
      </w:pPr>
      <w:r>
        <w:rPr>
          <w:color w:val="000000" w:themeColor="text1"/>
          <w14:textFill>
            <w14:solidFill>
              <w14:schemeClr w14:val="tx1"/>
            </w14:solidFill>
          </w14:textFill>
        </w:rPr>
        <w:t># 输出每个主成分的贡献率</w:t>
      </w:r>
    </w:p>
    <w:p>
      <w:pPr>
        <w:widowControl/>
        <w:rPr>
          <w:color w:val="000000" w:themeColor="text1"/>
          <w14:textFill>
            <w14:solidFill>
              <w14:schemeClr w14:val="tx1"/>
            </w14:solidFill>
          </w14:textFill>
        </w:rPr>
      </w:pPr>
      <w:r>
        <w:rPr>
          <w:color w:val="000000" w:themeColor="text1"/>
          <w14:textFill>
            <w14:solidFill>
              <w14:schemeClr w14:val="tx1"/>
            </w14:solidFill>
          </w14:textFill>
        </w:rPr>
        <w:t>print(pca.explained_variance_ratio_)</w:t>
      </w:r>
    </w:p>
    <w:p>
      <w:pPr>
        <w:widowControl/>
        <w:rPr>
          <w:color w:val="000000" w:themeColor="text1"/>
          <w14:textFill>
            <w14:solidFill>
              <w14:schemeClr w14:val="tx1"/>
            </w14:solidFill>
          </w14:textFill>
        </w:rPr>
      </w:pPr>
    </w:p>
    <w:p>
      <w:pPr>
        <w:widowControl/>
        <w:rPr>
          <w:color w:val="000000" w:themeColor="text1"/>
          <w14:textFill>
            <w14:solidFill>
              <w14:schemeClr w14:val="tx1"/>
            </w14:solidFill>
          </w14:textFill>
        </w:rPr>
      </w:pPr>
      <w:r>
        <w:rPr>
          <w:color w:val="000000" w:themeColor="text1"/>
          <w14:textFill>
            <w14:solidFill>
              <w14:schemeClr w14:val="tx1"/>
            </w14:solidFill>
          </w14:textFill>
        </w:rPr>
        <w:t># 输出每个主成分的权重</w:t>
      </w:r>
    </w:p>
    <w:p>
      <w:pPr>
        <w:widowControl/>
        <w:rPr>
          <w:color w:val="000000" w:themeColor="text1"/>
          <w14:textFill>
            <w14:solidFill>
              <w14:schemeClr w14:val="tx1"/>
            </w14:solidFill>
          </w14:textFill>
        </w:rPr>
      </w:pPr>
      <w:r>
        <w:rPr>
          <w:color w:val="000000" w:themeColor="text1"/>
          <w14:textFill>
            <w14:solidFill>
              <w14:schemeClr w14:val="tx1"/>
            </w14:solidFill>
          </w14:textFill>
        </w:rPr>
        <w:t>print(pca.components_)</w:t>
      </w:r>
    </w:p>
    <w:p>
      <w:pPr>
        <w:widowControl/>
        <w:rPr>
          <w:color w:val="000000" w:themeColor="text1"/>
          <w14:textFill>
            <w14:solidFill>
              <w14:schemeClr w14:val="tx1"/>
            </w14:solidFill>
          </w14:textFill>
        </w:rPr>
      </w:pPr>
    </w:p>
    <w:p>
      <w:pPr>
        <w:widowControl/>
        <w:rPr>
          <w:color w:val="000000" w:themeColor="text1"/>
          <w14:textFill>
            <w14:solidFill>
              <w14:schemeClr w14:val="tx1"/>
            </w14:solidFill>
          </w14:textFill>
        </w:rPr>
      </w:pPr>
      <w:r>
        <w:rPr>
          <w:color w:val="000000" w:themeColor="text1"/>
          <w14:textFill>
            <w14:solidFill>
              <w14:schemeClr w14:val="tx1"/>
            </w14:solidFill>
          </w14:textFill>
        </w:rPr>
        <w:t># 输出降维后的属性矩阵</w:t>
      </w: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t>print(X_pca)</w:t>
      </w:r>
    </w:p>
    <w:p>
      <w:pPr>
        <w:widowControl/>
        <w:jc w:val="left"/>
        <w:rPr>
          <w:color w:val="000000" w:themeColor="text1"/>
          <w14:textFill>
            <w14:solidFill>
              <w14:schemeClr w14:val="tx1"/>
            </w14:solidFill>
          </w14:textFill>
        </w:rPr>
      </w:pPr>
    </w:p>
    <w:p>
      <w:pPr>
        <w:widowControl/>
        <w:jc w:val="left"/>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在该代码中，使用了sklearn库中的PCA类进行特征降维处理。通过调整n_components参数，可以选择需要保留的主成分数。一般来说，可以保留贡献率大于某个阈值的主成分，例如0.9或0.95。通过输出每个主成分的贡献率和权重，可以对降维后的属性矩阵进行解释。</w:t>
      </w:r>
    </w:p>
    <w:p>
      <w:pPr>
        <w:widowControl/>
        <w:jc w:val="left"/>
        <w:rPr>
          <w:rFonts w:ascii="Segoe UI" w:hAnsi="Segoe UI" w:cs="Segoe UI"/>
          <w:color w:val="000000" w:themeColor="text1"/>
          <w14:textFill>
            <w14:solidFill>
              <w14:schemeClr w14:val="tx1"/>
            </w14:solidFill>
          </w14:textFill>
        </w:rPr>
      </w:pPr>
    </w:p>
    <w:p>
      <w:pPr>
        <w:widowControl/>
        <w:jc w:val="left"/>
        <w:rPr>
          <w:rFonts w:ascii="Segoe UI" w:hAnsi="Segoe UI" w:eastAsia="宋体" w:cs="Segoe UI"/>
          <w:color w:val="000000" w:themeColor="text1"/>
          <w:kern w:val="0"/>
          <w:sz w:val="24"/>
          <w:lang w:bidi="he-IL"/>
          <w14:textFill>
            <w14:solidFill>
              <w14:schemeClr w14:val="tx1"/>
            </w14:solidFill>
          </w14:textFill>
        </w:rPr>
      </w:pPr>
      <w:r>
        <w:rPr>
          <w:rFonts w:hint="eastAsia" w:ascii="Segoe UI" w:hAnsi="Segoe UI" w:cs="Segoe UI"/>
          <w:color w:val="000000" w:themeColor="text1"/>
          <w14:textFill>
            <w14:solidFill>
              <w14:schemeClr w14:val="tx1"/>
            </w14:solidFill>
          </w14:textFill>
        </w:rPr>
        <w:t>P</w:t>
      </w:r>
      <w:r>
        <w:rPr>
          <w:rFonts w:ascii="Segoe UI" w:hAnsi="Segoe UI" w:cs="Segoe UI"/>
          <w:color w:val="000000" w:themeColor="text1"/>
          <w14:textFill>
            <w14:solidFill>
              <w14:schemeClr w14:val="tx1"/>
            </w14:solidFill>
          </w14:textFill>
        </w:rPr>
        <w:t>CA（主成分分析）的主要目标是找到可以最大程度解释数据方差的线性组合。在PCA中，保留主成分的原则通常有两种方式：</w:t>
      </w:r>
    </w:p>
    <w:p>
      <w:pPr>
        <w:pStyle w:val="21"/>
        <w:widowControl/>
        <w:numPr>
          <w:ilvl w:val="0"/>
          <w:numId w:val="5"/>
        </w:numPr>
        <w:ind w:firstLineChars="0"/>
        <w:jc w:val="left"/>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保留方差解释率（explained variance ratio）大于某个阈值的主成分。方差解释率是每个主成分解释的数据方差占总方差的比例。因此，保留方差解释率大于某个阈值的主成分可以尽可能多地保留数据的信息，同时减少特征的数量。</w:t>
      </w:r>
    </w:p>
    <w:p>
      <w:pPr>
        <w:pStyle w:val="21"/>
        <w:widowControl/>
        <w:numPr>
          <w:ilvl w:val="0"/>
          <w:numId w:val="5"/>
        </w:numPr>
        <w:ind w:firstLineChars="0"/>
        <w:jc w:val="left"/>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保留主成分的累计方差解释率（cumulative explained variance ratio）大于某个阈值。累计方差解释率是前k个主成分的方差解释率之和。这种方法可以在保留足够多的数据信息的同时，减少主成分的数量</w:t>
      </w:r>
      <w:r>
        <w:rPr>
          <w:rFonts w:hint="eastAsia" w:ascii="Segoe UI" w:hAnsi="Segoe UI" w:cs="Segoe UI"/>
          <w:color w:val="000000" w:themeColor="text1"/>
          <w14:textFill>
            <w14:solidFill>
              <w14:schemeClr w14:val="tx1"/>
            </w14:solidFill>
          </w14:textFill>
        </w:rPr>
        <w:t>。</w:t>
      </w:r>
    </w:p>
    <w:p>
      <w:pPr>
        <w:widowControl/>
        <w:jc w:val="left"/>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在选择保留主成分的方法时，需要根据具体问题和数据集的特点来决定。一般来说，可以通过绘制方差解释率或累计方差解释率的图像来帮助确定保留的主成分数量</w:t>
      </w:r>
      <w:r>
        <w:rPr>
          <w:rFonts w:hint="eastAsia" w:ascii="Segoe UI" w:hAnsi="Segoe UI" w:cs="Segoe UI"/>
          <w:color w:val="000000" w:themeColor="text1"/>
          <w14:textFill>
            <w14:solidFill>
              <w14:schemeClr w14:val="tx1"/>
            </w14:solidFill>
          </w14:textFill>
        </w:rPr>
        <w:t xml:space="preserve">。 </w:t>
      </w:r>
    </w:p>
    <w:p>
      <w:pPr>
        <w:widowControl/>
        <w:jc w:val="left"/>
        <w:rPr>
          <w:rFonts w:ascii="Segoe UI" w:hAnsi="Segoe UI" w:cs="Segoe UI"/>
          <w:color w:val="000000" w:themeColor="text1"/>
          <w14:textFill>
            <w14:solidFill>
              <w14:schemeClr w14:val="tx1"/>
            </w14:solidFill>
          </w14:textFill>
        </w:rPr>
      </w:pPr>
    </w:p>
    <w:p>
      <w:pPr>
        <w:widowControl/>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方差解释率是主成分分析（PCA）中用来衡量每个主成分对总方差的贡献程度的一个指标。具体地，方差解释率是每个主成分解释的数据方差占总方差的比例。</w:t>
      </w:r>
    </w:p>
    <w:p>
      <w:pPr>
        <w:widowControl/>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在PCA中，主成分按照解释方差的大小进行排序。第一个主成分解释的方差最大，第二个主成分解释的方差次之，以此类推。方差解释率表示每个主成分解释的方差占总方差的比例，通常使用百分比表示。</w:t>
      </w:r>
    </w:p>
    <w:p>
      <w:pPr>
        <w:widowControl/>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方差解释率越高，说明相应的主成分解释了更多的数据方差，也就是说，这个主成分包含了更多的信息。因此，我们可以通过方差解释率来选择保留哪些主成分，以达到降维的目的，并尽量保留数据的信息。</w:t>
      </w:r>
    </w:p>
    <w:p>
      <w:pPr>
        <w:widowControl/>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可以使用Python中的PCA类计算每个主成分的方差解释率。例如，在scikit-learn库中，可以使用pca.explained_variance_ratio_属性来获取每个主成分的方差解释率。</w:t>
      </w:r>
    </w:p>
    <w:p>
      <w:pPr>
        <w:widowControl/>
        <w:jc w:val="left"/>
        <w:rPr>
          <w:rFonts w:ascii="Segoe UI" w:hAnsi="Segoe UI" w:cs="Segoe UI"/>
          <w:color w:val="000000" w:themeColor="text1"/>
          <w14:textFill>
            <w14:solidFill>
              <w14:schemeClr w14:val="tx1"/>
            </w14:solidFill>
          </w14:textFill>
        </w:rPr>
      </w:pPr>
    </w:p>
    <w:p>
      <w:pPr>
        <w:widowControl/>
        <w:rPr>
          <w:color w:val="000000" w:themeColor="text1"/>
          <w14:textFill>
            <w14:solidFill>
              <w14:schemeClr w14:val="tx1"/>
            </w14:solidFill>
          </w14:textFill>
        </w:rPr>
      </w:pPr>
      <w:r>
        <w:rPr>
          <w:color w:val="000000" w:themeColor="text1"/>
          <w14:textFill>
            <w14:solidFill>
              <w14:schemeClr w14:val="tx1"/>
            </w14:solidFill>
          </w14:textFill>
        </w:rPr>
        <w:t>主成分解释的方差是指每个主成分能够解释的数据方差。在主成分分析（PCA）中，每个主成分是原始属性的线性组合，可以通过计算它们的方差来衡量它们对数据的解释能力。</w:t>
      </w:r>
    </w:p>
    <w:p>
      <w:pPr>
        <w:widowControl/>
        <w:rPr>
          <w:color w:val="000000" w:themeColor="text1"/>
          <w14:textFill>
            <w14:solidFill>
              <w14:schemeClr w14:val="tx1"/>
            </w14:solidFill>
          </w14:textFill>
        </w:rPr>
      </w:pP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t>设第i个主成分的方差为$Var(z_i)$，则第i个主成分解释的方差为：</w:t>
      </w:r>
    </w:p>
    <w:p>
      <w:pPr>
        <w:widowControl/>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2390775" cy="450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33611" cy="459493"/>
                    </a:xfrm>
                    <a:prstGeom prst="rect">
                      <a:avLst/>
                    </a:prstGeom>
                  </pic:spPr>
                </pic:pic>
              </a:graphicData>
            </a:graphic>
          </wp:inline>
        </w:drawing>
      </w: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t>其中，p是原始属性的数量，$\sum_{j=1}^p Var(z_j)$表示所有主成分的方差之和。方差解释率（explained variance ratio）是第i个主成分解释的方差占所有主成分解释方差之和的比例，即：</w:t>
      </w:r>
    </w:p>
    <w:p>
      <w:pPr>
        <w:widowControl/>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4159250" cy="459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19162" cy="466492"/>
                    </a:xfrm>
                    <a:prstGeom prst="rect">
                      <a:avLst/>
                    </a:prstGeom>
                  </pic:spPr>
                </pic:pic>
              </a:graphicData>
            </a:graphic>
          </wp:inline>
        </w:drawing>
      </w:r>
    </w:p>
    <w:p>
      <w:pPr>
        <w:widowControl/>
        <w:jc w:val="left"/>
        <w:rPr>
          <w:color w:val="000000" w:themeColor="text1"/>
          <w14:textFill>
            <w14:solidFill>
              <w14:schemeClr w14:val="tx1"/>
            </w14:solidFill>
          </w14:textFill>
        </w:rPr>
      </w:pP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t>方差解释率衡量了每个主成分对总方差的贡献程度，是主成分的重要性指标。在选择保留哪些主成分时，可以根据它们的方差解释率进行决策。</w:t>
      </w:r>
    </w:p>
    <w:p>
      <w:pPr>
        <w:rPr>
          <w:color w:val="000000" w:themeColor="text1"/>
          <w14:textFill>
            <w14:solidFill>
              <w14:schemeClr w14:val="tx1"/>
            </w14:solidFill>
          </w14:textFill>
        </w:rPr>
      </w:pPr>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Kaiti SC">
    <w:altName w:val="微软雅黑"/>
    <w:panose1 w:val="020B0604020202020204"/>
    <w:charset w:val="86"/>
    <w:family w:val="auto"/>
    <w:pitch w:val="default"/>
    <w:sig w:usb0="00000000" w:usb1="00000000" w:usb2="00000016" w:usb3="00000000" w:csb0="0004001F" w:csb1="00000000"/>
  </w:font>
  <w:font w:name="Wingdings">
    <w:panose1 w:val="05000000000000000000"/>
    <w:charset w:val="00"/>
    <w:family w:val="decorative"/>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A06E1"/>
    <w:multiLevelType w:val="multilevel"/>
    <w:tmpl w:val="0ECA06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96E54CB"/>
    <w:multiLevelType w:val="multilevel"/>
    <w:tmpl w:val="196E54CB"/>
    <w:lvl w:ilvl="0" w:tentative="0">
      <w:start w:val="1"/>
      <w:numFmt w:val="bullet"/>
      <w:lvlText w:val=""/>
      <w:lvlJc w:val="left"/>
      <w:pPr>
        <w:ind w:left="800" w:hanging="440"/>
      </w:pPr>
      <w:rPr>
        <w:rFonts w:hint="default" w:ascii="Wingdings" w:hAnsi="Wingdings"/>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2">
    <w:nsid w:val="1A6A00CD"/>
    <w:multiLevelType w:val="multilevel"/>
    <w:tmpl w:val="1A6A00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3CD7CD0"/>
    <w:multiLevelType w:val="multilevel"/>
    <w:tmpl w:val="33CD7CD0"/>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3D0535E2"/>
    <w:multiLevelType w:val="multilevel"/>
    <w:tmpl w:val="3D0535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FjOTIxODdiZGFlMWViNjllZDBjYjE4M2RiYTE5MTUifQ=="/>
  </w:docVars>
  <w:rsids>
    <w:rsidRoot w:val="00AD065B"/>
    <w:rsid w:val="000060C5"/>
    <w:rsid w:val="0000689A"/>
    <w:rsid w:val="0001170E"/>
    <w:rsid w:val="00025C2D"/>
    <w:rsid w:val="0003090D"/>
    <w:rsid w:val="00042055"/>
    <w:rsid w:val="00054874"/>
    <w:rsid w:val="00054942"/>
    <w:rsid w:val="00086456"/>
    <w:rsid w:val="000B54BA"/>
    <w:rsid w:val="000C0E60"/>
    <w:rsid w:val="000C1BA7"/>
    <w:rsid w:val="000D3D36"/>
    <w:rsid w:val="000E56E5"/>
    <w:rsid w:val="000F0E5A"/>
    <w:rsid w:val="0013064C"/>
    <w:rsid w:val="00130D5F"/>
    <w:rsid w:val="0013763B"/>
    <w:rsid w:val="00141B3E"/>
    <w:rsid w:val="00143CDB"/>
    <w:rsid w:val="00150CC8"/>
    <w:rsid w:val="001532CA"/>
    <w:rsid w:val="00157208"/>
    <w:rsid w:val="00162C2E"/>
    <w:rsid w:val="00165886"/>
    <w:rsid w:val="00166634"/>
    <w:rsid w:val="001675DA"/>
    <w:rsid w:val="00176EE1"/>
    <w:rsid w:val="001825D7"/>
    <w:rsid w:val="0019545E"/>
    <w:rsid w:val="001A1C42"/>
    <w:rsid w:val="001A76C5"/>
    <w:rsid w:val="001B6209"/>
    <w:rsid w:val="001C2C8D"/>
    <w:rsid w:val="001D3428"/>
    <w:rsid w:val="001E1940"/>
    <w:rsid w:val="001E243D"/>
    <w:rsid w:val="00220754"/>
    <w:rsid w:val="0025679A"/>
    <w:rsid w:val="00260FE7"/>
    <w:rsid w:val="002642A6"/>
    <w:rsid w:val="002753C5"/>
    <w:rsid w:val="002817DA"/>
    <w:rsid w:val="002914ED"/>
    <w:rsid w:val="00291572"/>
    <w:rsid w:val="0029496B"/>
    <w:rsid w:val="002A6FB8"/>
    <w:rsid w:val="002B1084"/>
    <w:rsid w:val="002B6F87"/>
    <w:rsid w:val="002C410E"/>
    <w:rsid w:val="002C6E51"/>
    <w:rsid w:val="002D179D"/>
    <w:rsid w:val="002E5E6F"/>
    <w:rsid w:val="002E6AD2"/>
    <w:rsid w:val="002F480C"/>
    <w:rsid w:val="00304715"/>
    <w:rsid w:val="003125B2"/>
    <w:rsid w:val="003219AB"/>
    <w:rsid w:val="00336E47"/>
    <w:rsid w:val="00341677"/>
    <w:rsid w:val="003424D9"/>
    <w:rsid w:val="0035215D"/>
    <w:rsid w:val="00352B76"/>
    <w:rsid w:val="00370155"/>
    <w:rsid w:val="00374DD4"/>
    <w:rsid w:val="0037612C"/>
    <w:rsid w:val="00380119"/>
    <w:rsid w:val="00381B9D"/>
    <w:rsid w:val="0038390E"/>
    <w:rsid w:val="00387202"/>
    <w:rsid w:val="00391DC9"/>
    <w:rsid w:val="003A39AE"/>
    <w:rsid w:val="003A68E9"/>
    <w:rsid w:val="003B1B67"/>
    <w:rsid w:val="003C1B93"/>
    <w:rsid w:val="003C3FDF"/>
    <w:rsid w:val="003D6B13"/>
    <w:rsid w:val="003E1BE7"/>
    <w:rsid w:val="003E2113"/>
    <w:rsid w:val="003E7FB8"/>
    <w:rsid w:val="003F4BB5"/>
    <w:rsid w:val="003F607B"/>
    <w:rsid w:val="00401E1C"/>
    <w:rsid w:val="0042546F"/>
    <w:rsid w:val="0043455E"/>
    <w:rsid w:val="00435DB5"/>
    <w:rsid w:val="00437B63"/>
    <w:rsid w:val="00444419"/>
    <w:rsid w:val="004501AF"/>
    <w:rsid w:val="00465772"/>
    <w:rsid w:val="00466A44"/>
    <w:rsid w:val="004A4A4A"/>
    <w:rsid w:val="004B330F"/>
    <w:rsid w:val="004B686A"/>
    <w:rsid w:val="004C7818"/>
    <w:rsid w:val="004E34C9"/>
    <w:rsid w:val="004E6E5D"/>
    <w:rsid w:val="004F4231"/>
    <w:rsid w:val="00517A8E"/>
    <w:rsid w:val="00520475"/>
    <w:rsid w:val="00523779"/>
    <w:rsid w:val="00532541"/>
    <w:rsid w:val="00537D8B"/>
    <w:rsid w:val="00550D97"/>
    <w:rsid w:val="00554716"/>
    <w:rsid w:val="00560499"/>
    <w:rsid w:val="0056177D"/>
    <w:rsid w:val="00562E92"/>
    <w:rsid w:val="00573D33"/>
    <w:rsid w:val="00583493"/>
    <w:rsid w:val="00591026"/>
    <w:rsid w:val="005940E5"/>
    <w:rsid w:val="005A7074"/>
    <w:rsid w:val="005B2835"/>
    <w:rsid w:val="005E34D6"/>
    <w:rsid w:val="005F66CD"/>
    <w:rsid w:val="00610FC3"/>
    <w:rsid w:val="00631739"/>
    <w:rsid w:val="0064176E"/>
    <w:rsid w:val="0064356D"/>
    <w:rsid w:val="0065693E"/>
    <w:rsid w:val="00657DA1"/>
    <w:rsid w:val="00662B72"/>
    <w:rsid w:val="00665C1C"/>
    <w:rsid w:val="006767CA"/>
    <w:rsid w:val="006856A4"/>
    <w:rsid w:val="00687F0F"/>
    <w:rsid w:val="006A426A"/>
    <w:rsid w:val="006A5652"/>
    <w:rsid w:val="006A7F69"/>
    <w:rsid w:val="006B1CCB"/>
    <w:rsid w:val="006B33D9"/>
    <w:rsid w:val="006B7A1D"/>
    <w:rsid w:val="006C0A4F"/>
    <w:rsid w:val="006C3378"/>
    <w:rsid w:val="006C4BCD"/>
    <w:rsid w:val="006D2F9B"/>
    <w:rsid w:val="006D6F38"/>
    <w:rsid w:val="006E063F"/>
    <w:rsid w:val="006F4298"/>
    <w:rsid w:val="006F5BB5"/>
    <w:rsid w:val="007124DF"/>
    <w:rsid w:val="00713375"/>
    <w:rsid w:val="00721EE4"/>
    <w:rsid w:val="007276A0"/>
    <w:rsid w:val="00731715"/>
    <w:rsid w:val="00732AF9"/>
    <w:rsid w:val="0073356B"/>
    <w:rsid w:val="00736432"/>
    <w:rsid w:val="007511E7"/>
    <w:rsid w:val="00776FC0"/>
    <w:rsid w:val="0077745A"/>
    <w:rsid w:val="007828B5"/>
    <w:rsid w:val="007866CF"/>
    <w:rsid w:val="00786CE2"/>
    <w:rsid w:val="00791433"/>
    <w:rsid w:val="007A2AB6"/>
    <w:rsid w:val="007B1306"/>
    <w:rsid w:val="007B16F2"/>
    <w:rsid w:val="007C6760"/>
    <w:rsid w:val="007C6F0D"/>
    <w:rsid w:val="007F350C"/>
    <w:rsid w:val="00816BED"/>
    <w:rsid w:val="008529CC"/>
    <w:rsid w:val="00853C08"/>
    <w:rsid w:val="00864E9F"/>
    <w:rsid w:val="00867F40"/>
    <w:rsid w:val="008741D0"/>
    <w:rsid w:val="008779B2"/>
    <w:rsid w:val="008803B3"/>
    <w:rsid w:val="0089503B"/>
    <w:rsid w:val="008B4A98"/>
    <w:rsid w:val="008C2216"/>
    <w:rsid w:val="008C73A9"/>
    <w:rsid w:val="008D0FA9"/>
    <w:rsid w:val="008D36A1"/>
    <w:rsid w:val="008F15ED"/>
    <w:rsid w:val="008F54A6"/>
    <w:rsid w:val="008F6BBC"/>
    <w:rsid w:val="0090209A"/>
    <w:rsid w:val="00905F82"/>
    <w:rsid w:val="00914695"/>
    <w:rsid w:val="00915B8C"/>
    <w:rsid w:val="00931714"/>
    <w:rsid w:val="00936196"/>
    <w:rsid w:val="00941D09"/>
    <w:rsid w:val="00951A89"/>
    <w:rsid w:val="00952AF1"/>
    <w:rsid w:val="009577EE"/>
    <w:rsid w:val="00970FC6"/>
    <w:rsid w:val="009D295F"/>
    <w:rsid w:val="009D3C0A"/>
    <w:rsid w:val="009D7B1A"/>
    <w:rsid w:val="009F6BD9"/>
    <w:rsid w:val="00A30794"/>
    <w:rsid w:val="00A36B4C"/>
    <w:rsid w:val="00A4274A"/>
    <w:rsid w:val="00A441F5"/>
    <w:rsid w:val="00A5170D"/>
    <w:rsid w:val="00A54DE7"/>
    <w:rsid w:val="00A564E8"/>
    <w:rsid w:val="00A60D7E"/>
    <w:rsid w:val="00A62875"/>
    <w:rsid w:val="00A7401A"/>
    <w:rsid w:val="00AA0874"/>
    <w:rsid w:val="00AA3B49"/>
    <w:rsid w:val="00AB363F"/>
    <w:rsid w:val="00AC247C"/>
    <w:rsid w:val="00AC719C"/>
    <w:rsid w:val="00AD065B"/>
    <w:rsid w:val="00AD143F"/>
    <w:rsid w:val="00B0011B"/>
    <w:rsid w:val="00B0106D"/>
    <w:rsid w:val="00B242B1"/>
    <w:rsid w:val="00B24AA2"/>
    <w:rsid w:val="00B26A70"/>
    <w:rsid w:val="00B302CD"/>
    <w:rsid w:val="00B3113E"/>
    <w:rsid w:val="00B432A4"/>
    <w:rsid w:val="00B445DB"/>
    <w:rsid w:val="00B5372F"/>
    <w:rsid w:val="00B54725"/>
    <w:rsid w:val="00B62EE0"/>
    <w:rsid w:val="00B76EA9"/>
    <w:rsid w:val="00B8002D"/>
    <w:rsid w:val="00B82256"/>
    <w:rsid w:val="00BA270E"/>
    <w:rsid w:val="00BC0D20"/>
    <w:rsid w:val="00BC6B85"/>
    <w:rsid w:val="00BD5E6D"/>
    <w:rsid w:val="00BD7A11"/>
    <w:rsid w:val="00BE0C0F"/>
    <w:rsid w:val="00C00B30"/>
    <w:rsid w:val="00C15227"/>
    <w:rsid w:val="00C3004D"/>
    <w:rsid w:val="00C360D8"/>
    <w:rsid w:val="00C50FC9"/>
    <w:rsid w:val="00C72C7D"/>
    <w:rsid w:val="00C732A1"/>
    <w:rsid w:val="00C85187"/>
    <w:rsid w:val="00C85CAC"/>
    <w:rsid w:val="00C91012"/>
    <w:rsid w:val="00CA34F3"/>
    <w:rsid w:val="00CA55CA"/>
    <w:rsid w:val="00CB43B9"/>
    <w:rsid w:val="00CD26B5"/>
    <w:rsid w:val="00CD30A9"/>
    <w:rsid w:val="00CE3E9F"/>
    <w:rsid w:val="00CF74FC"/>
    <w:rsid w:val="00D026CA"/>
    <w:rsid w:val="00D04366"/>
    <w:rsid w:val="00D11A6D"/>
    <w:rsid w:val="00D27167"/>
    <w:rsid w:val="00D35F74"/>
    <w:rsid w:val="00D94F09"/>
    <w:rsid w:val="00DA53C3"/>
    <w:rsid w:val="00DA7E85"/>
    <w:rsid w:val="00DD1ECE"/>
    <w:rsid w:val="00DD33DF"/>
    <w:rsid w:val="00DE3017"/>
    <w:rsid w:val="00DE6D46"/>
    <w:rsid w:val="00DE7844"/>
    <w:rsid w:val="00E0625B"/>
    <w:rsid w:val="00E10221"/>
    <w:rsid w:val="00E11628"/>
    <w:rsid w:val="00E23105"/>
    <w:rsid w:val="00E41CD0"/>
    <w:rsid w:val="00E43269"/>
    <w:rsid w:val="00E43704"/>
    <w:rsid w:val="00E44E92"/>
    <w:rsid w:val="00E456D4"/>
    <w:rsid w:val="00E51488"/>
    <w:rsid w:val="00E531A4"/>
    <w:rsid w:val="00E65ABC"/>
    <w:rsid w:val="00E81D46"/>
    <w:rsid w:val="00E83CFE"/>
    <w:rsid w:val="00EE1580"/>
    <w:rsid w:val="00EF4EA7"/>
    <w:rsid w:val="00EF5070"/>
    <w:rsid w:val="00F06980"/>
    <w:rsid w:val="00F34FED"/>
    <w:rsid w:val="00F43FA8"/>
    <w:rsid w:val="00F608F3"/>
    <w:rsid w:val="00F732D6"/>
    <w:rsid w:val="00F85256"/>
    <w:rsid w:val="00F925E9"/>
    <w:rsid w:val="00FA1969"/>
    <w:rsid w:val="00FA7485"/>
    <w:rsid w:val="00FB0C1E"/>
    <w:rsid w:val="00FB2423"/>
    <w:rsid w:val="00FC5471"/>
    <w:rsid w:val="00FE4144"/>
    <w:rsid w:val="00FF08CF"/>
    <w:rsid w:val="23196A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0"/>
      <w:szCs w:val="32"/>
    </w:rPr>
  </w:style>
  <w:style w:type="paragraph" w:styleId="4">
    <w:name w:val="heading 3"/>
    <w:basedOn w:val="1"/>
    <w:next w:val="1"/>
    <w:link w:val="15"/>
    <w:autoRedefine/>
    <w:unhideWhenUsed/>
    <w:qFormat/>
    <w:uiPriority w:val="9"/>
    <w:pPr>
      <w:keepNext/>
      <w:keepLines/>
      <w:spacing w:before="260" w:after="260" w:line="416" w:lineRule="auto"/>
      <w:outlineLvl w:val="2"/>
    </w:pPr>
    <w:rPr>
      <w:b/>
      <w:bCs/>
      <w:sz w:val="28"/>
      <w:szCs w:val="32"/>
    </w:rPr>
  </w:style>
  <w:style w:type="paragraph" w:styleId="5">
    <w:name w:val="heading 4"/>
    <w:basedOn w:val="1"/>
    <w:next w:val="1"/>
    <w:link w:val="16"/>
    <w:autoRedefine/>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Date"/>
    <w:basedOn w:val="1"/>
    <w:next w:val="1"/>
    <w:link w:val="26"/>
    <w:semiHidden/>
    <w:unhideWhenUsed/>
    <w:qFormat/>
    <w:uiPriority w:val="99"/>
    <w:pPr>
      <w:ind w:left="100" w:leftChars="2500"/>
    </w:pPr>
  </w:style>
  <w:style w:type="paragraph" w:styleId="7">
    <w:name w:val="footer"/>
    <w:basedOn w:val="1"/>
    <w:link w:val="23"/>
    <w:unhideWhenUsed/>
    <w:qFormat/>
    <w:uiPriority w:val="99"/>
    <w:pPr>
      <w:tabs>
        <w:tab w:val="center" w:pos="4153"/>
        <w:tab w:val="right" w:pos="8306"/>
      </w:tabs>
      <w:snapToGrid w:val="0"/>
      <w:jc w:val="left"/>
    </w:pPr>
    <w:rPr>
      <w:sz w:val="18"/>
      <w:szCs w:val="18"/>
    </w:rPr>
  </w:style>
  <w:style w:type="paragraph" w:styleId="8">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lang w:bidi="he-IL"/>
    </w:rPr>
  </w:style>
  <w:style w:type="table" w:styleId="11">
    <w:name w:val="Table Grid"/>
    <w:basedOn w:val="10"/>
    <w:uiPriority w:val="39"/>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llowedHyperlink"/>
    <w:basedOn w:val="12"/>
    <w:semiHidden/>
    <w:unhideWhenUsed/>
    <w:qFormat/>
    <w:uiPriority w:val="99"/>
    <w:rPr>
      <w:color w:val="954F72" w:themeColor="followedHyperlink"/>
      <w:u w:val="single"/>
      <w14:textFill>
        <w14:solidFill>
          <w14:schemeClr w14:val="folHlink"/>
        </w14:solidFill>
      </w14:textFill>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customStyle="1" w:styleId="15">
    <w:name w:val="标题 3 字符"/>
    <w:basedOn w:val="12"/>
    <w:link w:val="4"/>
    <w:qFormat/>
    <w:uiPriority w:val="9"/>
    <w:rPr>
      <w:b/>
      <w:bCs/>
      <w:sz w:val="28"/>
      <w:szCs w:val="32"/>
    </w:rPr>
  </w:style>
  <w:style w:type="character" w:customStyle="1" w:styleId="16">
    <w:name w:val="标题 4 字符"/>
    <w:basedOn w:val="12"/>
    <w:link w:val="5"/>
    <w:qFormat/>
    <w:uiPriority w:val="9"/>
    <w:rPr>
      <w:rFonts w:asciiTheme="majorHAnsi" w:hAnsiTheme="majorHAnsi" w:eastAsiaTheme="majorEastAsia" w:cstheme="majorBidi"/>
      <w:b/>
      <w:bCs/>
      <w:szCs w:val="28"/>
    </w:rPr>
  </w:style>
  <w:style w:type="character" w:customStyle="1" w:styleId="17">
    <w:name w:val="标题 2 字符"/>
    <w:basedOn w:val="12"/>
    <w:link w:val="3"/>
    <w:qFormat/>
    <w:uiPriority w:val="9"/>
    <w:rPr>
      <w:rFonts w:asciiTheme="majorHAnsi" w:hAnsiTheme="majorHAnsi" w:eastAsiaTheme="majorEastAsia" w:cstheme="majorBidi"/>
      <w:b/>
      <w:bCs/>
      <w:sz w:val="30"/>
      <w:szCs w:val="32"/>
    </w:rPr>
  </w:style>
  <w:style w:type="paragraph" w:customStyle="1" w:styleId="18">
    <w:name w:val="引用文字"/>
    <w:basedOn w:val="1"/>
    <w:qFormat/>
    <w:uiPriority w:val="0"/>
    <w:pPr>
      <w:widowControl/>
      <w:spacing w:after="156"/>
      <w:ind w:firstLine="420" w:firstLineChars="200"/>
      <w:jc w:val="left"/>
    </w:pPr>
    <w:rPr>
      <w:rFonts w:ascii="Kaiti SC" w:hAnsi="Kaiti SC" w:eastAsia="Kaiti SC" w:cs="宋体"/>
      <w:color w:val="000000" w:themeColor="text1"/>
      <w:kern w:val="0"/>
      <w14:textFill>
        <w14:solidFill>
          <w14:schemeClr w14:val="tx1"/>
        </w14:solidFill>
      </w14:textFill>
    </w:rPr>
  </w:style>
  <w:style w:type="paragraph" w:customStyle="1" w:styleId="19">
    <w:name w:val="文献信息"/>
    <w:basedOn w:val="1"/>
    <w:qFormat/>
    <w:uiPriority w:val="0"/>
    <w:pPr>
      <w:widowControl/>
      <w:autoSpaceDE w:val="0"/>
      <w:autoSpaceDN w:val="0"/>
      <w:adjustRightInd w:val="0"/>
      <w:jc w:val="left"/>
    </w:pPr>
    <w:rPr>
      <w:rFonts w:ascii="Times New Roman" w:hAnsi="Times New Roman" w:eastAsia="Times New Roman" w:cs="Times New Roman"/>
      <w:kern w:val="0"/>
      <w:sz w:val="22"/>
      <w:szCs w:val="22"/>
    </w:rPr>
  </w:style>
  <w:style w:type="character" w:customStyle="1" w:styleId="20">
    <w:name w:val="标题 1 字符"/>
    <w:basedOn w:val="12"/>
    <w:link w:val="2"/>
    <w:qFormat/>
    <w:uiPriority w:val="9"/>
    <w:rPr>
      <w:b/>
      <w:bCs/>
      <w:kern w:val="44"/>
      <w:sz w:val="44"/>
      <w:szCs w:val="44"/>
    </w:rPr>
  </w:style>
  <w:style w:type="paragraph" w:styleId="21">
    <w:name w:val="List Paragraph"/>
    <w:basedOn w:val="1"/>
    <w:qFormat/>
    <w:uiPriority w:val="34"/>
    <w:pPr>
      <w:ind w:firstLine="420" w:firstLineChars="200"/>
    </w:pPr>
  </w:style>
  <w:style w:type="character" w:customStyle="1" w:styleId="22">
    <w:name w:val="页眉 字符"/>
    <w:basedOn w:val="12"/>
    <w:link w:val="8"/>
    <w:qFormat/>
    <w:uiPriority w:val="99"/>
    <w:rPr>
      <w:sz w:val="18"/>
      <w:szCs w:val="18"/>
    </w:rPr>
  </w:style>
  <w:style w:type="character" w:customStyle="1" w:styleId="23">
    <w:name w:val="页脚 字符"/>
    <w:basedOn w:val="12"/>
    <w:link w:val="7"/>
    <w:qFormat/>
    <w:uiPriority w:val="99"/>
    <w:rPr>
      <w:sz w:val="18"/>
      <w:szCs w:val="18"/>
    </w:rPr>
  </w:style>
  <w:style w:type="paragraph" w:customStyle="1" w:styleId="24">
    <w:name w:val="Bibliography"/>
    <w:basedOn w:val="1"/>
    <w:next w:val="1"/>
    <w:unhideWhenUsed/>
    <w:qFormat/>
    <w:uiPriority w:val="37"/>
  </w:style>
  <w:style w:type="character" w:customStyle="1" w:styleId="25">
    <w:name w:val="Unresolved Mention"/>
    <w:basedOn w:val="12"/>
    <w:semiHidden/>
    <w:unhideWhenUsed/>
    <w:uiPriority w:val="99"/>
    <w:rPr>
      <w:color w:val="605E5C"/>
      <w:shd w:val="clear" w:color="auto" w:fill="E1DFDD"/>
    </w:rPr>
  </w:style>
  <w:style w:type="character" w:customStyle="1" w:styleId="26">
    <w:name w:val="日期 字符"/>
    <w:basedOn w:val="12"/>
    <w:link w:val="6"/>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流病与</b:Tag>
    <b:SourceType>DocumentFromInternetSite</b:SourceType>
    <b:Guid>{77D5BA3C-B968-2F4B-A23C-766E4552A723}</b:Guid>
    <b:Author>
      <b:Author>
        <b:NameList>
          <b:Person>
            <b:Last>流病与统计</b:Last>
          </b:Person>
        </b:NameList>
      </b:Author>
    </b:Author>
    <b:Title>一看就懂的多重共线性</b:Title>
    <b:URL>https://zhuanlan.zhihu.com/p/355241680</b:URL>
    <b:RefOrder>1</b:RefOrder>
  </b:Source>
  <b:Source>
    <b:Tag>喀喀湖</b:Tag>
    <b:SourceType>DocumentFromInternetSite</b:SourceType>
    <b:Guid>{9D2B5542-DF24-A641-A849-93A8431F9829}</b:Guid>
    <b:Author>
      <b:Author>
        <b:NameList>
          <b:Person>
            <b:Last>喀喀湖</b:Last>
          </b:Person>
        </b:NameList>
      </b:Author>
    </b:Author>
    <b:Title>线性回归的决定系数</b:Title>
    <b:URL>https://blog.csdn.net/weixin_44005185/article/details/121273629</b:URL>
    <b:RefOrder>2</b:RefOrder>
  </b:Source>
</b:Sources>
</file>

<file path=customXml/itemProps1.xml><?xml version="1.0" encoding="utf-8"?>
<ds:datastoreItem xmlns:ds="http://schemas.openxmlformats.org/officeDocument/2006/customXml" ds:itemID="{45D44062-641E-465C-891F-B62691652570}">
  <ds:schemaRefs/>
</ds:datastoreItem>
</file>

<file path=docProps/app.xml><?xml version="1.0" encoding="utf-8"?>
<Properties xmlns="http://schemas.openxmlformats.org/officeDocument/2006/extended-properties" xmlns:vt="http://schemas.openxmlformats.org/officeDocument/2006/docPropsVTypes">
  <Template>Normal.dotm</Template>
  <Pages>6</Pages>
  <Words>2432</Words>
  <Characters>3958</Characters>
  <Lines>31</Lines>
  <Paragraphs>8</Paragraphs>
  <TotalTime>8</TotalTime>
  <ScaleCrop>false</ScaleCrop>
  <LinksUpToDate>false</LinksUpToDate>
  <CharactersWithSpaces>4044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2024-03-14T12:03:00Z</dcterms:created>
  <dc:creator>Liu Xuying</dc:creator>
  <cp:lastModifiedBy>唐梓烨</cp:lastModifiedBy>
  <dcterms:modified xsi:type="dcterms:W3CDTF">2024-06-26T09:27:39Z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5A85983357624CD99B28A2B6FE00A9E4_12</vt:lpwstr>
  </property>
</Properties>
</file>