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6183D6">
      <w:pPr>
        <w:keepNext w:val="0"/>
        <w:keepLines w:val="0"/>
        <w:pageBreakBefore w:val="0"/>
        <w:widowControl/>
        <w:suppressLineNumbers w:val="0"/>
        <w:kinsoku/>
        <w:wordWrap/>
        <w:overflowPunct/>
        <w:topLinePunct w:val="0"/>
        <w:autoSpaceDE/>
        <w:autoSpaceDN/>
        <w:bidi w:val="0"/>
        <w:adjustRightInd/>
        <w:snapToGrid w:val="0"/>
        <w:spacing w:beforeAutospacing="0" w:after="313" w:afterLines="100" w:afterAutospacing="0" w:line="360" w:lineRule="auto"/>
        <w:jc w:val="left"/>
        <w:textAlignment w:val="auto"/>
        <w:rPr>
          <w:rFonts w:hint="eastAsia" w:ascii="黑体" w:hAnsi="黑体" w:eastAsia="黑体" w:cs="黑体"/>
          <w:sz w:val="28"/>
          <w:szCs w:val="28"/>
        </w:rPr>
      </w:pPr>
      <w:r>
        <w:rPr>
          <w:rFonts w:hint="eastAsia" w:ascii="黑体" w:hAnsi="黑体" w:eastAsia="黑体" w:cs="黑体"/>
          <w:kern w:val="0"/>
          <w:sz w:val="28"/>
          <w:szCs w:val="28"/>
          <w:lang w:val="en-US" w:eastAsia="zh-CN" w:bidi="ar"/>
        </w:rPr>
        <w:t>自动驾驶场景下雷达-视觉图像融合的既定目标轨迹与状态预测研究</w:t>
      </w:r>
    </w:p>
    <w:p w14:paraId="08825D6D">
      <w:pPr>
        <w:pStyle w:val="2"/>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摘要</w:t>
      </w:r>
    </w:p>
    <w:p w14:paraId="11C9EA75">
      <w:pPr>
        <w:pStyle w:val="3"/>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动驾驶系统对动态交通参与者的持续跟踪与运动预测能力，决定了其在复杂环境下的安全边界。单目相机在夜间、强逆光、雨雾等条件下成像质量急剧退化且缺乏直接的距离与径向速度观测，传统毫米波雷达则受限于点云稀疏、高度维缺失与虚警偏高；4D成像毫米波雷达可同时输出距离、方位、俯仰与多普勒速度，在恶劣天气下保持稳定探测，与视觉形成物理层面的互补。然而现有融合方法多在常规场景下追求平均精度，对单模态退化缺乏显式建模，且感知环节的误差在传递至预测环节时被默认忽略，导致系统在样本稀少的长尾场景中失效风险显著上升。</w:t>
      </w:r>
    </w:p>
    <w:p w14:paraId="74DB67A5">
      <w:pPr>
        <w:pStyle w:val="3"/>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针对上述问题，本项目研究不确定性感知的雷达-视觉融合目标跟踪与轨迹预测方法，主要内容包括四个方面。一是雷达-视觉时空对齐与统一特征表征，研究面向运动畸变的点云补偿与在线外参漂移修正，构建融合多普勒维与雷达散射截面等物理量编码的稀疏点云特</w:t>
      </w:r>
      <w:bookmarkStart w:id="0" w:name="_GoBack"/>
      <w:bookmarkEnd w:id="0"/>
      <w:r>
        <w:rPr>
          <w:rFonts w:hint="eastAsia" w:asciiTheme="minorEastAsia" w:hAnsiTheme="minorEastAsia" w:eastAsiaTheme="minorEastAsia" w:cstheme="minorEastAsia"/>
          <w:sz w:val="21"/>
          <w:szCs w:val="21"/>
        </w:rPr>
        <w:t>征增强机制，并将图像透视特征映射至统一鸟瞰视角空间，以深度不确定性建模显式刻画视觉几何歧义。二是检测-跟踪一体化的多目标跟踪方法，以目标查询在时序上的传播替代显式数据关联，引入雷达径向速度先验约束运动假设，提升密集车流与相似外观目标场景下的身份一致性，并设计短时遮挡下的轨迹保持与重现接续策略。三是既定目标的运动状态估计与多模态轨迹预测，联合估计目标位置、速度、加速度、航向角与横摆角速度，建模目标间交互关系与可行驶区域约束，输出未来1至3秒的带概率多假设轨迹，并将感知环节的不确定性显式传播至预测环节，输出可供下游模块使用的预测置信度与运动学可行性校验结果。四是长尾场景挖掘、鲁棒性增强与评测验证，建立长尾场景分类定义体系，研究基于模型不确定性、跨模态一致性与轨迹异常度的长尾片段自动挖掘方法，实现训练类别之外目标的开放集识别与保守跟踪，并构建覆盖夜间低照度、雨雾、强逆光、隧道出入口、异形与施工目标、密集切入等场景的评测基准与指标体系。</w:t>
      </w:r>
    </w:p>
    <w:p w14:paraId="00BA4832">
      <w:pPr>
        <w:pStyle w:val="3"/>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项目将形成一套可离线复现的算法原型系统，在实车采集的多模态数据集上完成消融与对比验证，重点考核常规场景下的三维检测精度、多目标跟踪精度与轨迹预测位移误差，以及长尾子集上相对纯视觉基线的相对改善幅度，为低成本、全天候的自动驾驶环境感知与运动预测提供方法支撑与工程可行性验证。</w:t>
      </w:r>
    </w:p>
    <w:p w14:paraId="2491686F">
      <w:pPr>
        <w:pStyle w:val="2"/>
        <w:keepNext w:val="0"/>
        <w:keepLines w:val="0"/>
        <w:pageBreakBefore w:val="0"/>
        <w:widowControl/>
        <w:suppressLineNumbers w:val="0"/>
        <w:kinsoku/>
        <w:wordWrap/>
        <w:overflowPunct/>
        <w:topLinePunct w:val="0"/>
        <w:autoSpaceDE/>
        <w:autoSpaceDN/>
        <w:bidi w:val="0"/>
        <w:adjustRightInd/>
        <w:snapToGrid w:val="0"/>
        <w:spacing w:before="313" w:beforeLines="100" w:beforeAutospacing="0" w:afterAutospacing="0" w:line="360" w:lineRule="auto"/>
        <w:jc w:val="left"/>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关键词</w:t>
      </w:r>
    </w:p>
    <w:p w14:paraId="5C2775D5">
      <w:pPr>
        <w:pStyle w:val="3"/>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ind w:firstLine="420" w:firstLineChars="20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自动驾驶；雷达-视觉融合；多目标跟踪；轨迹预测；长尾场景</w:t>
      </w:r>
    </w:p>
    <w:p w14:paraId="345FE7EE">
      <w:pPr>
        <w:pStyle w:val="3"/>
        <w:keepNext w:val="0"/>
        <w:keepLines w:val="0"/>
        <w:pageBreakBefore w:val="0"/>
        <w:widowControl/>
        <w:suppressLineNumbers w:val="0"/>
        <w:kinsoku/>
        <w:wordWrap/>
        <w:overflowPunct/>
        <w:topLinePunct w:val="0"/>
        <w:autoSpaceDE/>
        <w:autoSpaceDN/>
        <w:bidi w:val="0"/>
        <w:adjustRightInd/>
        <w:snapToGrid w:val="0"/>
        <w:spacing w:beforeAutospacing="0" w:afterAutospacing="0" w:line="360" w:lineRule="auto"/>
        <w:textAlignment w:val="auto"/>
        <w:rPr>
          <w:rFonts w:hint="eastAsia" w:asciiTheme="minorEastAsia" w:hAnsiTheme="minorEastAsia" w:eastAsiaTheme="minorEastAsia" w:cstheme="minorEastAsia"/>
          <w:sz w:val="21"/>
          <w:szCs w:val="21"/>
          <w:lang w:val="en-US" w:eastAsia="zh-CN"/>
        </w:rPr>
      </w:pPr>
    </w:p>
    <w:p w14:paraId="6E59DE3C">
      <w:pPr>
        <w:keepNext w:val="0"/>
        <w:keepLines w:val="0"/>
        <w:pageBreakBefore w:val="0"/>
        <w:kinsoku/>
        <w:wordWrap/>
        <w:overflowPunct/>
        <w:topLinePunct w:val="0"/>
        <w:autoSpaceDE/>
        <w:autoSpaceDN/>
        <w:bidi w:val="0"/>
        <w:adjustRightInd/>
        <w:snapToGrid w:val="0"/>
        <w:spacing w:beforeAutospacing="0" w:afterAutospacing="0" w:line="360" w:lineRule="auto"/>
        <w:textAlignment w:val="auto"/>
        <w:rPr>
          <w:rFonts w:hint="eastAsia" w:asciiTheme="minorEastAsia" w:hAnsiTheme="minorEastAsia" w:eastAsiaTheme="minorEastAsia" w:cstheme="minorEastAsia"/>
          <w:sz w:val="21"/>
          <w:szCs w:val="2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Regular">
    <w:panose1 w:val="02000503000000020004"/>
    <w:charset w:val="00"/>
    <w:family w:val="auto"/>
    <w:pitch w:val="default"/>
    <w:sig w:usb0="E50002FF" w:usb1="500079DB" w:usb2="00000010" w:usb3="00000000" w:csb0="00000000" w:csb1="00000000"/>
  </w:font>
  <w:font w:name="Hiragino Sans GB W3">
    <w:panose1 w:val="020B0300000000000000"/>
    <w:charset w:val="86"/>
    <w:family w:val="auto"/>
    <w:pitch w:val="default"/>
    <w:sig w:usb0="A00002BF" w:usb1="1ACF7CFA" w:usb2="00000016" w:usb3="00000000" w:csb0="00060007" w:csb1="00000000"/>
  </w:font>
  <w:font w:name="Heiti TC Light">
    <w:panose1 w:val="00000000000000000000"/>
    <w:charset w:val="86"/>
    <w:family w:val="auto"/>
    <w:pitch w:val="default"/>
    <w:sig w:usb0="8000002F" w:usb1="0800004A" w:usb2="00000000" w:usb3="00000000" w:csb0="203E0000" w:csb1="00000000"/>
  </w:font>
  <w:font w:name="Heiti SC Light">
    <w:panose1 w:val="00000000000000000000"/>
    <w:charset w:val="86"/>
    <w:family w:val="auto"/>
    <w:pitch w:val="default"/>
    <w:sig w:usb0="8000002F" w:usb1="0800004A" w:usb2="00000000" w:usb3="00000000" w:csb0="203E0000" w:csb1="00000000"/>
  </w:font>
  <w:font w:name="黑体">
    <w:altName w:val="汉仪中黑KW"/>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ADF8BB12"/>
    <w:rsid w:val="ADF8B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2026-09-16T23:51:00Z</dcterms:created>
  <dc:creator>刘洋</dc:creator>
  <cp:lastModifiedBy>刘洋</cp:lastModifiedBy>
  <dcterms:modified xsi:type="dcterms:W3CDTF">2026-09-16T23:56:06Z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6982D6C8CF20CF2E0DBBAA6AC1ECA621_41</vt:lpwstr>
  </property>
</Properties>
</file>