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1F4E79"/>
          <w:sz w:val="40"/>
          <w:szCs w:val="40"/>
        </w:rPr>
        <w:t xml:space="preserve">Liste des tâches</w:t>
      </w:r>
    </w:p>
    <w:p>
      <w:pPr>
        <w:spacing w:after="320"/>
        <w:jc w:val="center"/>
      </w:pPr>
      <w:r>
        <w:rPr>
          <w:i/>
          <w:iCs/>
          <w:color w:val="595959"/>
          <w:sz w:val="24"/>
          <w:szCs w:val="24"/>
        </w:rPr>
        <w:t xml:space="preserve">Jeu 2D de parcours mathématique — Module IA (CE1 et CE2)</w:t>
      </w:r>
    </w:p>
    <w:p>
      <w:pPr>
        <w:pStyle w:val="Heading1"/>
        <w:pBdr>
          <w:bottom w:val="single" w:color="1F4E79" w:sz="6" w:space="4"/>
        </w:pBdr>
        <w:spacing w:after="160" w:before="320"/>
      </w:pPr>
      <w:r>
        <w:rPr>
          <w:b/>
          <w:bCs/>
          <w:color w:val="1F4E79"/>
          <w:sz w:val="26"/>
          <w:szCs w:val="26"/>
        </w:rPr>
        <w:t xml:space="preserve">Semaine 1 — Cadrage et fondations</w:t>
      </w:r>
    </w:p>
    <w:p>
      <w:pPr>
        <w:pStyle w:val="Heading2"/>
        <w:spacing w:after="100" w:before="220"/>
      </w:pPr>
      <w:r>
        <w:rPr>
          <w:b/>
          <w:bCs/>
          <w:color w:val="1F4E79"/>
          <w:sz w:val="22"/>
          <w:szCs w:val="22"/>
        </w:rPr>
        <w:t xml:space="preserve">Analyse du contenu pédagogique</w:t>
      </w:r>
    </w:p>
    <w:p>
      <w:pPr>
        <w:spacing w:after="110" w:line="280"/>
        <w:ind w:left="720" w:hanging="360"/>
      </w:pPr>
      <w:r>
        <w:rPr>
          <w:color w:val="2E7D32"/>
          <w:sz w:val="22"/>
          <w:szCs w:val="22"/>
        </w:rPr>
        <w:t xml:space="preserve">☑  </w:t>
      </w:r>
      <w:r>
        <w:rPr>
          <w:strike/>
          <w:color w:val="808080"/>
          <w:sz w:val="22"/>
          <w:szCs w:val="22"/>
        </w:rPr>
        <w:t xml:space="preserve">Étendre l'analyse (extraction + appariement question/correction) à l'ensemble des fichiers CE1 et CE2</w:t>
      </w:r>
    </w:p>
    <w:p>
      <w:pPr>
        <w:spacing w:after="110" w:line="280"/>
        <w:ind w:left="720" w:hanging="360"/>
      </w:pPr>
      <w:r>
        <w:rPr>
          <w:color w:val="2E7D32"/>
          <w:sz w:val="22"/>
          <w:szCs w:val="22"/>
        </w:rPr>
        <w:t xml:space="preserve">☑  </w:t>
      </w:r>
      <w:r>
        <w:rPr>
          <w:strike/>
          <w:color w:val="808080"/>
          <w:sz w:val="22"/>
          <w:szCs w:val="22"/>
        </w:rPr>
        <w:t xml:space="preserve">Vérifier sur un échantillon plus large que la structure à 3 niveaux (Activité 1 / Activité 2 / pratique autonome) se confirme</w:t>
      </w:r>
    </w:p>
    <w:p>
      <w:pPr>
        <w:spacing w:after="110" w:line="280"/>
        <w:ind w:left="720" w:hanging="360"/>
      </w:pPr>
      <w:r>
        <w:rPr>
          <w:color w:val="2E7D32"/>
          <w:sz w:val="22"/>
          <w:szCs w:val="22"/>
        </w:rPr>
        <w:t xml:space="preserve">☑  </w:t>
      </w:r>
      <w:r>
        <w:rPr>
          <w:strike/>
          <w:color w:val="808080"/>
          <w:sz w:val="22"/>
          <w:szCs w:val="22"/>
        </w:rPr>
        <w:t xml:space="preserve">Identifier et lister les patterns de calcul et d'exercices à trous réutilisables pour la génération</w:t>
      </w:r>
    </w:p>
    <w:p>
      <w:pPr>
        <w:pStyle w:val="Heading2"/>
        <w:spacing w:after="100" w:before="220"/>
      </w:pPr>
      <w:r>
        <w:rPr>
          <w:b/>
          <w:bCs/>
          <w:color w:val="1F4E79"/>
          <w:sz w:val="22"/>
          <w:szCs w:val="22"/>
        </w:rPr>
        <w:t xml:space="preserve">Conception technique</w:t>
      </w:r>
    </w:p>
    <w:p>
      <w:pPr>
        <w:spacing w:after="110" w:line="280"/>
        <w:ind w:left="720" w:hanging="360"/>
      </w:pPr>
      <w:r>
        <w:rPr>
          <w:color w:val="2E7D32"/>
          <w:sz w:val="22"/>
          <w:szCs w:val="22"/>
        </w:rPr>
        <w:t xml:space="preserve">☑  </w:t>
      </w:r>
      <w:r>
        <w:rPr>
          <w:strike/>
          <w:color w:val="808080"/>
          <w:sz w:val="22"/>
          <w:szCs w:val="22"/>
        </w:rPr>
        <w:t xml:space="preserve">Définir le format de données JSON pour un exercice (énoncé, réponse, niveau scolaire, niveau de résolution, type)</w:t>
      </w:r>
    </w:p>
    <w:p>
      <w:pPr>
        <w:spacing w:after="110" w:line="280"/>
        <w:ind w:left="720" w:hanging="360"/>
      </w:pPr>
      <w:r>
        <w:rPr>
          <w:color w:val="2E7D32"/>
          <w:sz w:val="22"/>
          <w:szCs w:val="22"/>
        </w:rPr>
        <w:t xml:space="preserve">☑  </w:t>
      </w:r>
      <w:r>
        <w:rPr>
          <w:strike/>
          <w:color w:val="808080"/>
          <w:sz w:val="22"/>
          <w:szCs w:val="22"/>
        </w:rPr>
        <w:t xml:space="preserve">Choisir la stack technique du prototype web : FastAPI + Gemini 2.5 Flash (tuteur IA) + JSON en fichiers, frontend HTML/JS vanilla</w:t>
      </w:r>
    </w:p>
    <w:p>
      <w:pPr>
        <w:spacing w:after="110" w:line="280"/>
        <w:ind w:left="720" w:hanging="360"/>
      </w:pPr>
      <w:r>
        <w:rPr>
          <w:color w:val="2E7D32"/>
          <w:sz w:val="22"/>
          <w:szCs w:val="22"/>
        </w:rPr>
        <w:t xml:space="preserve">☑  </w:t>
      </w:r>
      <w:r>
        <w:rPr>
          <w:strike/>
          <w:color w:val="808080"/>
          <w:sz w:val="22"/>
          <w:szCs w:val="22"/>
        </w:rPr>
        <w:t xml:space="preserve">Coder un premier générateur procédural sur un échantillon de fichiers CE1/CE2</w:t>
      </w:r>
    </w:p>
    <w:p>
      <w:pPr>
        <w:spacing w:after="110" w:line="280"/>
        <w:ind w:left="720" w:hanging="360"/>
      </w:pPr>
      <w:r>
        <w:rPr>
          <w:color w:val="2E7D32"/>
          <w:sz w:val="22"/>
          <w:szCs w:val="22"/>
        </w:rPr>
        <w:t xml:space="preserve">☑  </w:t>
      </w:r>
      <w:r>
        <w:rPr>
          <w:strike/>
          <w:color w:val="808080"/>
          <w:sz w:val="22"/>
          <w:szCs w:val="22"/>
        </w:rPr>
        <w:t xml:space="preserve">Générer les 3 variantes de présentation (guidé / semi-guidé / autonome) pour ce même échantillon</w:t>
      </w:r>
    </w:p>
    <w:p>
      <w:pPr>
        <w:pStyle w:val="ListParagraph"/>
        <w:numPr>
          <w:ilvl w:val="0"/>
          <w:numId w:val="2"/>
        </w:numPr>
        <w:spacing w:after="110" w:line="280"/>
      </w:pPr>
      <w:r>
        <w:rPr>
          <w:sz w:val="22"/>
          <w:szCs w:val="22"/>
        </w:rPr>
        <w:t xml:space="preserve">Mettre en place le tuteur IA (chat d'aide ancré sur les etapes_methode, via l'API Gemini)</w:t>
      </w:r>
    </w:p>
    <w:p>
      <w:pPr>
        <w:pStyle w:val="Heading1"/>
        <w:pBdr>
          <w:bottom w:val="single" w:color="1F4E79" w:sz="6" w:space="4"/>
        </w:pBdr>
        <w:spacing w:after="160" w:before="320"/>
      </w:pPr>
      <w:r>
        <w:rPr>
          <w:b/>
          <w:bCs/>
          <w:color w:val="1F4E79"/>
          <w:sz w:val="26"/>
          <w:szCs w:val="26"/>
        </w:rPr>
        <w:t xml:space="preserve">Semaine 2 — Génération et évaluation</w:t>
      </w:r>
    </w:p>
    <w:p>
      <w:pPr>
        <w:pStyle w:val="Heading2"/>
        <w:spacing w:after="100" w:before="220"/>
      </w:pPr>
      <w:r>
        <w:rPr>
          <w:b/>
          <w:bCs/>
          <w:color w:val="1F4E79"/>
          <w:sz w:val="22"/>
          <w:szCs w:val="22"/>
        </w:rPr>
        <w:t xml:space="preserve">Génération de contenu</w:t>
      </w:r>
    </w:p>
    <w:p>
      <w:pPr>
        <w:pStyle w:val="ListParagraph"/>
        <w:numPr>
          <w:ilvl w:val="0"/>
          <w:numId w:val="2"/>
        </w:numPr>
        <w:spacing w:after="110" w:line="280"/>
      </w:pPr>
      <w:r>
        <w:rPr>
          <w:sz w:val="22"/>
          <w:szCs w:val="22"/>
        </w:rPr>
        <w:t xml:space="preserve">Généraliser le générateur procédural à l'ensemble du contenu CE1 et CE2 (calcul, exercices à trous)</w:t>
      </w:r>
    </w:p>
    <w:p>
      <w:pPr>
        <w:pStyle w:val="ListParagraph"/>
        <w:numPr>
          <w:ilvl w:val="0"/>
          <w:numId w:val="2"/>
        </w:numPr>
        <w:spacing w:after="110" w:line="280"/>
      </w:pPr>
      <w:r>
        <w:rPr>
          <w:sz w:val="22"/>
          <w:szCs w:val="22"/>
        </w:rPr>
        <w:t xml:space="preserve">Mettre en place la génération assistée par LLM pour les problèmes narratifs (few-shot à partir du corpus réel)</w:t>
      </w:r>
    </w:p>
    <w:p>
      <w:pPr>
        <w:pStyle w:val="ListParagraph"/>
        <w:numPr>
          <w:ilvl w:val="0"/>
          <w:numId w:val="2"/>
        </w:numPr>
        <w:spacing w:after="110" w:line="280"/>
      </w:pPr>
      <w:r>
        <w:rPr>
          <w:sz w:val="22"/>
          <w:szCs w:val="22"/>
        </w:rPr>
        <w:t xml:space="preserve">Produire les 3 niveaux de résolution pour chaque exercice généré</w:t>
      </w:r>
    </w:p>
    <w:p>
      <w:pPr>
        <w:pStyle w:val="Heading2"/>
        <w:spacing w:after="100" w:before="220"/>
      </w:pPr>
      <w:r>
        <w:rPr>
          <w:b/>
          <w:bCs/>
          <w:color w:val="1F4E79"/>
          <w:sz w:val="22"/>
          <w:szCs w:val="22"/>
        </w:rPr>
        <w:t xml:space="preserve">Évaluation et progression</w:t>
      </w:r>
    </w:p>
    <w:p>
      <w:pPr>
        <w:pStyle w:val="ListParagraph"/>
        <w:numPr>
          <w:ilvl w:val="0"/>
          <w:numId w:val="2"/>
        </w:numPr>
        <w:spacing w:after="110" w:line="280"/>
      </w:pPr>
      <w:r>
        <w:rPr>
          <w:sz w:val="22"/>
          <w:szCs w:val="22"/>
        </w:rPr>
        <w:t xml:space="preserve">Développer le module d'évaluation automatique des réponses</w:t>
      </w:r>
    </w:p>
    <w:p>
      <w:pPr>
        <w:pStyle w:val="ListParagraph"/>
        <w:numPr>
          <w:ilvl w:val="0"/>
          <w:numId w:val="2"/>
        </w:numPr>
        <w:spacing w:after="110" w:line="280"/>
      </w:pPr>
      <w:r>
        <w:rPr>
          <w:sz w:val="22"/>
          <w:szCs w:val="22"/>
        </w:rPr>
        <w:t xml:space="preserve">Implémenter la logique de progression entre les 3 niveaux de résolution au sein d'une étape</w:t>
      </w:r>
    </w:p>
    <w:p>
      <w:pPr>
        <w:pStyle w:val="ListParagraph"/>
        <w:numPr>
          <w:ilvl w:val="0"/>
          <w:numId w:val="2"/>
        </w:numPr>
        <w:spacing w:after="110" w:line="280"/>
      </w:pPr>
      <w:r>
        <w:rPr>
          <w:sz w:val="22"/>
          <w:szCs w:val="22"/>
        </w:rPr>
        <w:t xml:space="preserve">Implémenter la logique de progression d'une étape à l'autre sur la carte</w:t>
      </w:r>
    </w:p>
    <w:p>
      <w:pPr>
        <w:pStyle w:val="ListParagraph"/>
        <w:numPr>
          <w:ilvl w:val="0"/>
          <w:numId w:val="2"/>
        </w:numPr>
        <w:spacing w:after="110" w:line="280"/>
      </w:pPr>
      <w:r>
        <w:rPr>
          <w:sz w:val="22"/>
          <w:szCs w:val="22"/>
        </w:rPr>
        <w:t xml:space="preserve">Tester le pipeline complet (génération → réponse → évaluation → progression) en ligne de commande</w:t>
      </w:r>
    </w:p>
    <w:p>
      <w:pPr>
        <w:pStyle w:val="Heading1"/>
        <w:pBdr>
          <w:bottom w:val="single" w:color="1F4E79" w:sz="6" w:space="4"/>
        </w:pBdr>
        <w:spacing w:after="160" w:before="320"/>
      </w:pPr>
      <w:r>
        <w:rPr>
          <w:b/>
          <w:bCs/>
          <w:color w:val="1F4E79"/>
          <w:sz w:val="26"/>
          <w:szCs w:val="26"/>
        </w:rPr>
        <w:t xml:space="preserve">Semaine 3 — Prototype jouable et livraison</w:t>
      </w:r>
    </w:p>
    <w:p>
      <w:pPr>
        <w:pStyle w:val="Heading2"/>
        <w:spacing w:after="100" w:before="220"/>
      </w:pPr>
      <w:r>
        <w:rPr>
          <w:b/>
          <w:bCs/>
          <w:color w:val="1F4E79"/>
          <w:sz w:val="22"/>
          <w:szCs w:val="22"/>
        </w:rPr>
        <w:t xml:space="preserve">Prototype web</w:t>
      </w:r>
    </w:p>
    <w:p>
      <w:pPr>
        <w:pStyle w:val="ListParagraph"/>
        <w:numPr>
          <w:ilvl w:val="0"/>
          <w:numId w:val="2"/>
        </w:numPr>
        <w:spacing w:after="110" w:line="280"/>
      </w:pPr>
      <w:r>
        <w:rPr>
          <w:sz w:val="22"/>
          <w:szCs w:val="22"/>
        </w:rPr>
        <w:t xml:space="preserve">Construire l'interface de la carte 2D (chemins, étapes, zones à débloquer)</w:t>
      </w:r>
    </w:p>
    <w:p>
      <w:pPr>
        <w:pStyle w:val="ListParagraph"/>
        <w:numPr>
          <w:ilvl w:val="0"/>
          <w:numId w:val="2"/>
        </w:numPr>
        <w:spacing w:after="110" w:line="280"/>
      </w:pPr>
      <w:r>
        <w:rPr>
          <w:sz w:val="22"/>
          <w:szCs w:val="22"/>
        </w:rPr>
        <w:t xml:space="preserve">Connecter l'interface au module IA (affichage de l'exercice, saisie de réponse, feedback)</w:t>
      </w:r>
    </w:p>
    <w:p>
      <w:pPr>
        <w:pStyle w:val="ListParagraph"/>
        <w:numPr>
          <w:ilvl w:val="0"/>
          <w:numId w:val="2"/>
        </w:numPr>
        <w:spacing w:after="110" w:line="280"/>
      </w:pPr>
      <w:r>
        <w:rPr>
          <w:sz w:val="22"/>
          <w:szCs w:val="22"/>
        </w:rPr>
        <w:t xml:space="preserve">Intégrer le déblocage de zones selon la progression de l'élève</w:t>
      </w:r>
    </w:p>
    <w:p>
      <w:pPr>
        <w:pStyle w:val="Heading2"/>
        <w:spacing w:after="100" w:before="220"/>
      </w:pPr>
      <w:r>
        <w:rPr>
          <w:b/>
          <w:bCs/>
          <w:color w:val="1F4E79"/>
          <w:sz w:val="22"/>
          <w:szCs w:val="22"/>
        </w:rPr>
        <w:t xml:space="preserve">Tests et documentation</w:t>
      </w:r>
    </w:p>
    <w:p>
      <w:pPr>
        <w:pStyle w:val="ListParagraph"/>
        <w:numPr>
          <w:ilvl w:val="0"/>
          <w:numId w:val="2"/>
        </w:numPr>
        <w:spacing w:after="110" w:line="280"/>
      </w:pPr>
      <w:r>
        <w:rPr>
          <w:sz w:val="22"/>
          <w:szCs w:val="22"/>
        </w:rPr>
        <w:t xml:space="preserve">Tester le parcours complet de bout en bout avec plusieurs profils d'élèves simulés</w:t>
      </w:r>
    </w:p>
    <w:p>
      <w:pPr>
        <w:pStyle w:val="ListParagraph"/>
        <w:numPr>
          <w:ilvl w:val="0"/>
          <w:numId w:val="2"/>
        </w:numPr>
        <w:spacing w:after="110" w:line="280"/>
      </w:pPr>
      <w:r>
        <w:rPr>
          <w:sz w:val="22"/>
          <w:szCs w:val="22"/>
        </w:rPr>
        <w:t xml:space="preserve">Documenter le format d'échange de données prévu pour une future intégration au moteur 3D/VR</w:t>
      </w:r>
    </w:p>
    <w:p>
      <w:pPr>
        <w:pStyle w:val="ListParagraph"/>
        <w:numPr>
          <w:ilvl w:val="0"/>
          <w:numId w:val="2"/>
        </w:numPr>
        <w:spacing w:after="110" w:line="280"/>
      </w:pPr>
      <w:r>
        <w:rPr>
          <w:sz w:val="22"/>
          <w:szCs w:val="22"/>
        </w:rPr>
        <w:t xml:space="preserve">Rédiger le rapport de stage</w:t>
      </w:r>
    </w:p>
    <w:p>
      <w:pPr>
        <w:pStyle w:val="ListParagraph"/>
        <w:numPr>
          <w:ilvl w:val="0"/>
          <w:numId w:val="2"/>
        </w:numPr>
        <w:spacing w:after="110" w:line="280"/>
      </w:pPr>
      <w:r>
        <w:rPr>
          <w:sz w:val="22"/>
          <w:szCs w:val="22"/>
        </w:rPr>
        <w:t xml:space="preserve">Préparer la démonstration à l'équipe</w:t>
      </w:r>
    </w:p>
    <w:p>
      <w:pPr>
        <w:spacing w:after="160" w:line="280"/>
      </w:pPr>
      <w:r>
        <w:rPr>
          <w:i/>
          <w:iCs/>
          <w:color w:val="595959"/>
          <w:sz w:val="20"/>
          <w:szCs w:val="20"/>
        </w:rPr>
        <w:t xml:space="preserve">Cases à cocher directement dans Word en cliquant sur ☐, ou à imprimer.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2026-07-16T10:43:15.327Z</dcterms:created>
  <dcterms:modified xsi:type="dcterms:W3CDTF">2026-07-16T10:43:15.339Z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