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4E79"/>
          <w:sz w:val="40"/>
          <w:szCs w:val="40"/>
        </w:rPr>
        <w:t xml:space="preserve">Liste des tâches</w:t>
      </w:r>
    </w:p>
    <w:p>
      <w:pPr>
        <w:spacing w:after="320"/>
        <w:jc w:val="center"/>
      </w:pPr>
      <w:r>
        <w:rPr>
          <w:i/>
          <w:iCs/>
          <w:color w:val="595959"/>
          <w:sz w:val="24"/>
          <w:szCs w:val="24"/>
        </w:rPr>
        <w:t xml:space="preserve">Jeu 2D de parcours mathématique — Module IA (CE1 et CE2)</w:t>
      </w:r>
    </w:p>
    <w:p>
      <w:pPr>
        <w:pStyle w:val="Heading1"/>
        <w:pBdr>
          <w:bottom w:val="single" w:color="1F4E79" w:sz="6" w:space="4"/>
        </w:pBdr>
        <w:spacing w:after="160" w:before="320"/>
      </w:pPr>
      <w:r>
        <w:rPr>
          <w:b/>
          <w:bCs/>
          <w:color w:val="1F4E79"/>
          <w:sz w:val="26"/>
          <w:szCs w:val="26"/>
        </w:rPr>
        <w:t xml:space="preserve">Semaine 1 — Cadrage et fondations</w:t>
      </w:r>
    </w:p>
    <w:p>
      <w:pPr>
        <w:pStyle w:val="Heading2"/>
        <w:spacing w:after="100" w:before="220"/>
      </w:pPr>
      <w:r>
        <w:rPr>
          <w:b/>
          <w:bCs/>
          <w:color w:val="1F4E79"/>
          <w:sz w:val="22"/>
          <w:szCs w:val="22"/>
        </w:rPr>
        <w:t xml:space="preserve">Analyse du contenu pédagogique</w:t>
      </w:r>
    </w:p>
    <w:p>
      <w:pPr>
        <w:spacing w:after="110" w:line="280"/>
        <w:ind w:left="720" w:hanging="360"/>
      </w:pPr>
      <w:r>
        <w:rPr>
          <w:color w:val="2E7D32"/>
          <w:sz w:val="22"/>
          <w:szCs w:val="22"/>
        </w:rPr>
        <w:t xml:space="preserve">☑  </w:t>
      </w:r>
      <w:r>
        <w:rPr>
          <w:strike/>
          <w:color w:val="808080"/>
          <w:sz w:val="22"/>
          <w:szCs w:val="22"/>
        </w:rPr>
        <w:t xml:space="preserve">Étendre l'analyse (extraction + appariement question/correction) à l'ensemble des fichiers CE1 et CE2</w:t>
      </w:r>
    </w:p>
    <w:p>
      <w:pPr>
        <w:spacing w:after="110" w:line="280"/>
        <w:ind w:left="720" w:hanging="360"/>
      </w:pPr>
      <w:r>
        <w:rPr>
          <w:color w:val="2E7D32"/>
          <w:sz w:val="22"/>
          <w:szCs w:val="22"/>
        </w:rPr>
        <w:t xml:space="preserve">☑  </w:t>
      </w:r>
      <w:r>
        <w:rPr>
          <w:strike/>
          <w:color w:val="808080"/>
          <w:sz w:val="22"/>
          <w:szCs w:val="22"/>
        </w:rPr>
        <w:t xml:space="preserve">Vérifier sur un échantillon plus large que la structure à 3 niveaux (Activité 1 / Activité 2 / pratique autonome) se confirme</w:t>
      </w:r>
    </w:p>
    <w:p>
      <w:pPr>
        <w:spacing w:after="110" w:line="280"/>
        <w:ind w:left="720" w:hanging="360"/>
      </w:pPr>
      <w:r>
        <w:rPr>
          <w:color w:val="2E7D32"/>
          <w:sz w:val="22"/>
          <w:szCs w:val="22"/>
        </w:rPr>
        <w:t xml:space="preserve">☑  </w:t>
      </w:r>
      <w:r>
        <w:rPr>
          <w:strike/>
          <w:color w:val="808080"/>
          <w:sz w:val="22"/>
          <w:szCs w:val="22"/>
        </w:rPr>
        <w:t xml:space="preserve">Identifier et lister les patterns de calcul et d'exercices à trous réutilisables pour la génération</w:t>
      </w:r>
    </w:p>
    <w:p>
      <w:pPr>
        <w:pStyle w:val="Heading2"/>
        <w:spacing w:after="100" w:before="220"/>
      </w:pPr>
      <w:r>
        <w:rPr>
          <w:b/>
          <w:bCs/>
          <w:color w:val="1F4E79"/>
          <w:sz w:val="22"/>
          <w:szCs w:val="22"/>
        </w:rPr>
        <w:t xml:space="preserve">Conception technique</w:t>
      </w:r>
    </w:p>
    <w:p>
      <w:pPr>
        <w:spacing w:after="110" w:line="280"/>
        <w:ind w:left="720" w:hanging="360"/>
      </w:pPr>
      <w:r>
        <w:rPr>
          <w:color w:val="2E7D32"/>
          <w:sz w:val="22"/>
          <w:szCs w:val="22"/>
        </w:rPr>
        <w:t xml:space="preserve">☑  </w:t>
      </w:r>
      <w:r>
        <w:rPr>
          <w:strike/>
          <w:color w:val="808080"/>
          <w:sz w:val="22"/>
          <w:szCs w:val="22"/>
        </w:rPr>
        <w:t xml:space="preserve">Définir le format de données JSON pour un exercice (énoncé, réponse, niveau scolaire, niveau de résolution, type)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Choisir la stack technique du prototype web (langage, framework)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Coder un premier générateur procédural sur un échantillon de fichiers CE1/CE2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Générer les 3 variantes de présentation (guidé / semi-guidé / autonome) pour ce même échantillon</w:t>
      </w:r>
    </w:p>
    <w:p>
      <w:pPr>
        <w:pStyle w:val="Heading1"/>
        <w:pBdr>
          <w:bottom w:val="single" w:color="1F4E79" w:sz="6" w:space="4"/>
        </w:pBdr>
        <w:spacing w:after="160" w:before="320"/>
      </w:pPr>
      <w:r>
        <w:rPr>
          <w:b/>
          <w:bCs/>
          <w:color w:val="1F4E79"/>
          <w:sz w:val="26"/>
          <w:szCs w:val="26"/>
        </w:rPr>
        <w:t xml:space="preserve">Semaine 2 — Génération et évaluation</w:t>
      </w:r>
    </w:p>
    <w:p>
      <w:pPr>
        <w:pStyle w:val="Heading2"/>
        <w:spacing w:after="100" w:before="220"/>
      </w:pPr>
      <w:r>
        <w:rPr>
          <w:b/>
          <w:bCs/>
          <w:color w:val="1F4E79"/>
          <w:sz w:val="22"/>
          <w:szCs w:val="22"/>
        </w:rPr>
        <w:t xml:space="preserve">Génération de contenu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Généraliser le générateur procédural à l'ensemble du contenu CE1 et CE2 (calcul, exercices à trous)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Mettre en place la génération assistée par LLM pour les problèmes narratifs (few-shot à partir du corpus réel)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Produire les 3 niveaux de résolution pour chaque exercice généré</w:t>
      </w:r>
    </w:p>
    <w:p>
      <w:pPr>
        <w:pStyle w:val="Heading2"/>
        <w:spacing w:after="100" w:before="220"/>
      </w:pPr>
      <w:r>
        <w:rPr>
          <w:b/>
          <w:bCs/>
          <w:color w:val="1F4E79"/>
          <w:sz w:val="22"/>
          <w:szCs w:val="22"/>
        </w:rPr>
        <w:t xml:space="preserve">Évaluation et progression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Développer le module d'évaluation automatique des réponses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Implémenter la logique de progression entre les 3 niveaux de résolution au sein d'une étape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Implémenter la logique de progression d'une étape à l'autre sur la carte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Tester le pipeline complet (génération → réponse → évaluation → progression) en ligne de commande</w:t>
      </w:r>
    </w:p>
    <w:p>
      <w:pPr>
        <w:pStyle w:val="Heading1"/>
        <w:pBdr>
          <w:bottom w:val="single" w:color="1F4E79" w:sz="6" w:space="4"/>
        </w:pBdr>
        <w:spacing w:after="160" w:before="320"/>
      </w:pPr>
      <w:r>
        <w:rPr>
          <w:b/>
          <w:bCs/>
          <w:color w:val="1F4E79"/>
          <w:sz w:val="26"/>
          <w:szCs w:val="26"/>
        </w:rPr>
        <w:t xml:space="preserve">Semaine 3 — Prototype jouable et livraison</w:t>
      </w:r>
    </w:p>
    <w:p>
      <w:pPr>
        <w:pStyle w:val="Heading2"/>
        <w:spacing w:after="100" w:before="220"/>
      </w:pPr>
      <w:r>
        <w:rPr>
          <w:b/>
          <w:bCs/>
          <w:color w:val="1F4E79"/>
          <w:sz w:val="22"/>
          <w:szCs w:val="22"/>
        </w:rPr>
        <w:t xml:space="preserve">Prototype web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Construire l'interface de la carte 2D (chemins, étapes, zones à débloquer)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Connecter l'interface au module IA (affichage de l'exercice, saisie de réponse, feedback)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Intégrer le déblocage de zones selon la progression de l'élève</w:t>
      </w:r>
    </w:p>
    <w:p>
      <w:pPr>
        <w:pStyle w:val="Heading2"/>
        <w:spacing w:after="100" w:before="220"/>
      </w:pPr>
      <w:r>
        <w:rPr>
          <w:b/>
          <w:bCs/>
          <w:color w:val="1F4E79"/>
          <w:sz w:val="22"/>
          <w:szCs w:val="22"/>
        </w:rPr>
        <w:t xml:space="preserve">Tests et documentation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Tester le parcours complet de bout en bout avec plusieurs profils d'élèves simulés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Documenter le format d'échange de données prévu pour une future intégration au moteur 3D/VR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Rédiger le rapport de stage</w:t>
      </w:r>
    </w:p>
    <w:p>
      <w:pPr>
        <w:pStyle w:val="ListParagraph"/>
        <w:numPr>
          <w:ilvl w:val="0"/>
          <w:numId w:val="2"/>
        </w:numPr>
        <w:spacing w:after="110" w:line="280"/>
      </w:pPr>
      <w:r>
        <w:rPr>
          <w:sz w:val="22"/>
          <w:szCs w:val="22"/>
        </w:rPr>
        <w:t xml:space="preserve">Préparer la démonstration à l'équipe</w:t>
      </w:r>
    </w:p>
    <w:p>
      <w:pPr>
        <w:spacing w:after="160" w:line="280"/>
      </w:pPr>
      <w:r>
        <w:rPr>
          <w:i/>
          <w:iCs/>
          <w:color w:val="595959"/>
          <w:sz w:val="20"/>
          <w:szCs w:val="20"/>
        </w:rPr>
        <w:t xml:space="preserve">Cases à cocher directement dans Word en cliquant sur ☐, ou à imprimer.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2026-07-16T08:48:14.545Z</dcterms:created>
  <dcterms:modified xsi:type="dcterms:W3CDTF">2026-07-16T08:48:14.566Z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