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CE80" w14:textId="4AEDA277" w:rsidR="00A12721" w:rsidRPr="00A12721" w:rsidRDefault="00A12721" w:rsidP="00A12721">
      <w:pPr>
        <w:spacing w:line="276" w:lineRule="auto"/>
        <w:rPr>
          <w:rFonts w:ascii="Cambria" w:hAnsi="Cambria" w:cs="Times New Roman"/>
        </w:rPr>
      </w:pPr>
      <w:r w:rsidRPr="00A12721">
        <w:rPr>
          <w:rFonts w:ascii="Cambria" w:hAnsi="Cambria" w:cs="Times New Roman"/>
        </w:rPr>
        <w:t>Zajęcie Egiptu przez siły arabskie w latach 639–646 stanowiło cezurę o znaczeniu nie tylko politycznym, ale również religijnym i kulturowym. Procesy arabizacji oraz islamizacji, które nastąpiły po militarnym przejęciu władzy, nie</w:t>
      </w:r>
      <w:r w:rsidR="005460F1">
        <w:rPr>
          <w:rFonts w:ascii="Cambria" w:hAnsi="Cambria" w:cs="Times New Roman"/>
        </w:rPr>
        <w:t xml:space="preserve"> dokonały się w tym samym czasie co w innych miejscach podbitych przez arabów</w:t>
      </w:r>
      <w:r w:rsidRPr="00A12721">
        <w:rPr>
          <w:rFonts w:ascii="Cambria" w:hAnsi="Cambria" w:cs="Times New Roman"/>
        </w:rPr>
        <w:t xml:space="preserve">. Arabizacja — utożsamiana z adopcją języka arabskiego i wzorców kultury polityczno-administracyjnej — rozwijała się obok islamizacji, którą należy rozumieć jako stopniowe przyjmowanie islamu przez ludność rdzenną. </w:t>
      </w:r>
      <w:r w:rsidR="005460F1">
        <w:rPr>
          <w:rFonts w:ascii="Cambria" w:hAnsi="Cambria" w:cs="Times New Roman"/>
        </w:rPr>
        <w:t xml:space="preserve">Praca </w:t>
      </w:r>
      <w:r w:rsidRPr="00A12721">
        <w:rPr>
          <w:rFonts w:ascii="Cambria" w:hAnsi="Cambria" w:cs="Times New Roman"/>
        </w:rPr>
        <w:t>ma na</w:t>
      </w:r>
      <w:r w:rsidR="007773E0">
        <w:rPr>
          <w:rFonts w:ascii="Cambria" w:hAnsi="Cambria" w:cs="Times New Roman"/>
        </w:rPr>
        <w:t xml:space="preserve"> odpowiedzieć na </w:t>
      </w:r>
      <w:r w:rsidR="00254E90">
        <w:rPr>
          <w:rFonts w:ascii="Cambria" w:hAnsi="Cambria" w:cs="Times New Roman"/>
        </w:rPr>
        <w:t>pytanie,</w:t>
      </w:r>
      <w:r w:rsidR="007773E0">
        <w:rPr>
          <w:rFonts w:ascii="Cambria" w:hAnsi="Cambria" w:cs="Times New Roman"/>
        </w:rPr>
        <w:t xml:space="preserve"> dlaczego do tych procesów doszło</w:t>
      </w:r>
      <w:r w:rsidR="00330170">
        <w:rPr>
          <w:rFonts w:ascii="Cambria" w:hAnsi="Cambria" w:cs="Times New Roman"/>
        </w:rPr>
        <w:t xml:space="preserve"> i dlaczego później niż gdzie indziej</w:t>
      </w:r>
      <w:r w:rsidRPr="00A12721">
        <w:rPr>
          <w:rFonts w:ascii="Cambria" w:hAnsi="Cambria" w:cs="Times New Roman"/>
        </w:rPr>
        <w:t>. W szczególności podkreśl</w:t>
      </w:r>
      <w:r w:rsidR="00446EBC">
        <w:rPr>
          <w:rFonts w:ascii="Cambria" w:hAnsi="Cambria" w:cs="Times New Roman"/>
        </w:rPr>
        <w:t>a</w:t>
      </w:r>
      <w:r w:rsidR="00254E90">
        <w:rPr>
          <w:rFonts w:ascii="Cambria" w:hAnsi="Cambria" w:cs="Times New Roman"/>
        </w:rPr>
        <w:t xml:space="preserve"> </w:t>
      </w:r>
      <w:r w:rsidRPr="00A12721">
        <w:rPr>
          <w:rFonts w:ascii="Cambria" w:hAnsi="Cambria" w:cs="Times New Roman"/>
        </w:rPr>
        <w:t>rolę przemian w systemie fiskalnym, co miało bezpośrednie konsekwencje dla dynamiki konwersji i akulturacji.</w:t>
      </w:r>
    </w:p>
    <w:p w14:paraId="761FCBFB" w14:textId="77777777" w:rsidR="00A12721" w:rsidRPr="00A12721" w:rsidRDefault="00A12721" w:rsidP="00A12721">
      <w:pPr>
        <w:spacing w:line="276" w:lineRule="auto"/>
        <w:rPr>
          <w:rFonts w:ascii="Cambria" w:hAnsi="Cambria" w:cs="Times New Roman"/>
        </w:rPr>
      </w:pPr>
    </w:p>
    <w:p w14:paraId="3CE140F6" w14:textId="118136B6" w:rsidR="00A12721" w:rsidRPr="00A12721" w:rsidRDefault="00A12721" w:rsidP="00A12721">
      <w:pPr>
        <w:spacing w:line="276" w:lineRule="auto"/>
        <w:rPr>
          <w:rFonts w:ascii="Cambria" w:hAnsi="Cambria" w:cs="Times New Roman"/>
        </w:rPr>
      </w:pPr>
      <w:r w:rsidRPr="00A12721">
        <w:rPr>
          <w:rFonts w:ascii="Cambria" w:hAnsi="Cambria" w:cs="Times New Roman"/>
        </w:rPr>
        <w:t>Przed podbojem arabskim</w:t>
      </w:r>
      <w:r>
        <w:rPr>
          <w:rFonts w:ascii="Cambria" w:hAnsi="Cambria" w:cs="Times New Roman"/>
        </w:rPr>
        <w:t xml:space="preserve"> d</w:t>
      </w:r>
      <w:r w:rsidRPr="00A12721">
        <w:rPr>
          <w:rFonts w:ascii="Cambria" w:hAnsi="Cambria" w:cs="Times New Roman"/>
        </w:rPr>
        <w:t>ominującym wyznaniem ludności rdzennie egipskiej był monofizytyzm,</w:t>
      </w:r>
      <w:r>
        <w:rPr>
          <w:rFonts w:ascii="Cambria" w:hAnsi="Cambria" w:cs="Times New Roman"/>
        </w:rPr>
        <w:t xml:space="preserve"> którego reprezentantem był koptyjski patriarcha Aleksandrii</w:t>
      </w:r>
      <w:r w:rsidRPr="00A12721">
        <w:rPr>
          <w:rFonts w:ascii="Cambria" w:hAnsi="Cambria" w:cs="Times New Roman"/>
        </w:rPr>
        <w:t>.</w:t>
      </w:r>
      <w:r>
        <w:rPr>
          <w:rFonts w:ascii="Cambria" w:hAnsi="Cambria" w:cs="Times New Roman"/>
        </w:rPr>
        <w:t xml:space="preserve"> </w:t>
      </w:r>
      <w:r w:rsidRPr="00A12721">
        <w:rPr>
          <w:rFonts w:ascii="Cambria" w:hAnsi="Cambria" w:cs="Times New Roman"/>
        </w:rPr>
        <w:t xml:space="preserve">Konfrontacja z ortodoksją chalcedońską, reprezentowaną przez hierarchię bizantyjską, prowadziła do </w:t>
      </w:r>
      <w:r>
        <w:rPr>
          <w:rFonts w:ascii="Cambria" w:hAnsi="Cambria" w:cs="Times New Roman"/>
        </w:rPr>
        <w:t xml:space="preserve">prześladowiań </w:t>
      </w:r>
      <w:r w:rsidRPr="00A12721">
        <w:rPr>
          <w:rFonts w:ascii="Cambria" w:hAnsi="Cambria" w:cs="Times New Roman"/>
        </w:rPr>
        <w:t>ludności monofizyckiej w strukturze władzy kościelnej i administracyjnej. Język koptyjski, będący kontynuacją języka egipskiego zapisanego alfabetem greckim z domieszką znaków demotycznych, pełnił funkcję języka liturgii i komunikacji lokalnej, natomiast grecki pozostawał dominującym językiem administracji i elity urzędniczej. Ta dwujęzyczność i napięcia wyznaniowe stanowiły podatny grunt dla transformacji społeczno-religijnych po wkroczeniu armii arabskiej.</w:t>
      </w:r>
    </w:p>
    <w:p w14:paraId="2886030C" w14:textId="77777777" w:rsidR="00A12721" w:rsidRPr="00A12721" w:rsidRDefault="00A12721" w:rsidP="00A12721">
      <w:pPr>
        <w:spacing w:line="276" w:lineRule="auto"/>
        <w:rPr>
          <w:rFonts w:ascii="Cambria" w:hAnsi="Cambria" w:cs="Times New Roman"/>
        </w:rPr>
      </w:pPr>
    </w:p>
    <w:p w14:paraId="382FA97E" w14:textId="2A86097B" w:rsidR="00A12721" w:rsidRPr="00A12721" w:rsidRDefault="00A12721" w:rsidP="00A12721">
      <w:pPr>
        <w:spacing w:line="276" w:lineRule="auto"/>
        <w:rPr>
          <w:rFonts w:ascii="Cambria" w:hAnsi="Cambria" w:cs="Times New Roman"/>
        </w:rPr>
      </w:pPr>
      <w:r w:rsidRPr="00A12721">
        <w:rPr>
          <w:rFonts w:ascii="Cambria" w:hAnsi="Cambria" w:cs="Times New Roman"/>
        </w:rPr>
        <w:t xml:space="preserve">Egipt </w:t>
      </w:r>
      <w:r w:rsidR="00322296" w:rsidRPr="00A12721">
        <w:rPr>
          <w:rFonts w:ascii="Cambria" w:hAnsi="Cambria" w:cs="Times New Roman"/>
        </w:rPr>
        <w:t>późno bizantyjski</w:t>
      </w:r>
      <w:r w:rsidRPr="00A12721">
        <w:rPr>
          <w:rFonts w:ascii="Cambria" w:hAnsi="Cambria" w:cs="Times New Roman"/>
        </w:rPr>
        <w:t xml:space="preserve"> funkcjonował w oparciu o specyficzną strukturę fiskalno-terytorialną, w której kluczową rolę odgrywała instytucja pagarchatu. Pagarchowie, wywodzący się z lokalnej arystokracji lub warstwy ziemiańskiej, pełnili funkcje łączące kompetencje administracyjne, wojskowe i podatkowe. Ich zwierzchnictwo nad konkretnymi obszarami prowincji obejmowało nie tylko egzekucję podatków, ale także utrzymanie porządku publicznego.</w:t>
      </w:r>
      <w:r w:rsidR="008009F6">
        <w:rPr>
          <w:rFonts w:ascii="Cambria" w:hAnsi="Cambria" w:cs="Times New Roman"/>
        </w:rPr>
        <w:t xml:space="preserve"> Za czasów bizantyjskich tworzyły się też ogromne majątki ziemskie będące pod </w:t>
      </w:r>
      <w:proofErr w:type="spellStart"/>
      <w:r w:rsidR="008009F6">
        <w:rPr>
          <w:rFonts w:ascii="Cambria" w:hAnsi="Cambria" w:cs="Times New Roman"/>
        </w:rPr>
        <w:t>ius</w:t>
      </w:r>
      <w:proofErr w:type="spellEnd"/>
      <w:r w:rsidR="008009F6">
        <w:rPr>
          <w:rFonts w:ascii="Cambria" w:hAnsi="Cambria" w:cs="Times New Roman"/>
        </w:rPr>
        <w:t xml:space="preserve"> </w:t>
      </w:r>
      <w:proofErr w:type="spellStart"/>
      <w:r w:rsidR="008009F6">
        <w:rPr>
          <w:rFonts w:ascii="Cambria" w:hAnsi="Cambria" w:cs="Times New Roman"/>
        </w:rPr>
        <w:t>autopractorium</w:t>
      </w:r>
      <w:proofErr w:type="spellEnd"/>
      <w:r w:rsidR="00AF68B9">
        <w:rPr>
          <w:rFonts w:ascii="Cambria" w:hAnsi="Cambria" w:cs="Times New Roman"/>
        </w:rPr>
        <w:t xml:space="preserve"> </w:t>
      </w:r>
      <w:r w:rsidR="00AF68B9" w:rsidRPr="00A12721">
        <w:rPr>
          <w:rFonts w:ascii="Cambria" w:hAnsi="Cambria" w:cs="Times New Roman"/>
        </w:rPr>
        <w:t>—</w:t>
      </w:r>
      <w:r w:rsidR="00AF68B9">
        <w:rPr>
          <w:rFonts w:ascii="Cambria" w:hAnsi="Cambria" w:cs="Times New Roman"/>
        </w:rPr>
        <w:t xml:space="preserve"> </w:t>
      </w:r>
      <w:r w:rsidR="00551163">
        <w:rPr>
          <w:rFonts w:ascii="Cambria" w:hAnsi="Cambria" w:cs="Times New Roman"/>
        </w:rPr>
        <w:t xml:space="preserve">byli oni wyłączeni spod zarządu </w:t>
      </w:r>
      <w:proofErr w:type="spellStart"/>
      <w:r w:rsidR="00551163">
        <w:rPr>
          <w:rFonts w:ascii="Cambria" w:hAnsi="Cambria" w:cs="Times New Roman"/>
        </w:rPr>
        <w:t>pagarchy</w:t>
      </w:r>
      <w:proofErr w:type="spellEnd"/>
      <w:r w:rsidR="00551163">
        <w:rPr>
          <w:rFonts w:ascii="Cambria" w:hAnsi="Cambria" w:cs="Times New Roman"/>
        </w:rPr>
        <w:t>.</w:t>
      </w:r>
    </w:p>
    <w:p w14:paraId="17862137" w14:textId="77777777" w:rsidR="00A12721" w:rsidRPr="00A12721" w:rsidRDefault="00A12721" w:rsidP="00A12721">
      <w:pPr>
        <w:spacing w:line="276" w:lineRule="auto"/>
        <w:rPr>
          <w:rFonts w:ascii="Cambria" w:hAnsi="Cambria" w:cs="Times New Roman"/>
        </w:rPr>
      </w:pPr>
    </w:p>
    <w:p w14:paraId="0FB4F7AD" w14:textId="283B4CA8" w:rsidR="00A12721" w:rsidRPr="00A12721" w:rsidRDefault="00A12721" w:rsidP="00A12721">
      <w:pPr>
        <w:spacing w:line="276" w:lineRule="auto"/>
        <w:rPr>
          <w:rFonts w:ascii="Cambria" w:hAnsi="Cambria" w:cs="Times New Roman"/>
        </w:rPr>
      </w:pPr>
      <w:r w:rsidRPr="00A12721">
        <w:rPr>
          <w:rFonts w:ascii="Cambria" w:hAnsi="Cambria" w:cs="Times New Roman"/>
        </w:rPr>
        <w:t>Kampania militarna prowadzona przez armię arabską pod dowództwem ʿAmra ibn al-ʿĀsa doprowadziła do kapitulacji Aleksandrii w 642 roku, co uznaje się za symboliczne zwieńczenie procesu podboju Egiptu. Niemniej, ostatnie ogniska oporu utrzymywały się do 646 roku, kiedy to flota bizantyjska została ostatecznie pokonana. Charakterystycznym elementem tej fazy było zawieranie traktatów kapitulacyjnych (ṣulḥ), w których zabezpieczano prawa wspólnot chrześcijańskich, przyznając im status Dhimmi — ludów Księgi objętych systemem ochrony w zamian za zapłatę podatków (</w:t>
      </w:r>
      <w:proofErr w:type="spellStart"/>
      <w:r w:rsidR="00E61599">
        <w:rPr>
          <w:rFonts w:ascii="Cambria" w:hAnsi="Cambria" w:cs="Times New Roman"/>
        </w:rPr>
        <w:t>d</w:t>
      </w:r>
      <w:r w:rsidR="00E61599" w:rsidRPr="00E61599">
        <w:rPr>
          <w:rFonts w:ascii="Cambria" w:hAnsi="Cambria" w:cs="Times New Roman"/>
        </w:rPr>
        <w:t>żizja</w:t>
      </w:r>
      <w:proofErr w:type="spellEnd"/>
      <w:r w:rsidR="00E61599">
        <w:rPr>
          <w:rFonts w:ascii="Cambria" w:hAnsi="Cambria" w:cs="Times New Roman"/>
        </w:rPr>
        <w:t xml:space="preserve"> </w:t>
      </w:r>
      <w:r w:rsidRPr="00A12721">
        <w:rPr>
          <w:rFonts w:ascii="Cambria" w:hAnsi="Cambria" w:cs="Times New Roman"/>
        </w:rPr>
        <w:t xml:space="preserve">i </w:t>
      </w:r>
      <w:proofErr w:type="spellStart"/>
      <w:r w:rsidR="003C0522" w:rsidRPr="003C0522">
        <w:rPr>
          <w:rFonts w:ascii="Cambria" w:hAnsi="Cambria" w:cs="Times New Roman"/>
        </w:rPr>
        <w:t>charadż</w:t>
      </w:r>
      <w:proofErr w:type="spellEnd"/>
      <w:r w:rsidRPr="00A12721">
        <w:rPr>
          <w:rFonts w:ascii="Cambria" w:hAnsi="Cambria" w:cs="Times New Roman"/>
        </w:rPr>
        <w:t xml:space="preserve">) oraz uznanie zwierzchnictwa politycznego kalifatu. System ten </w:t>
      </w:r>
      <w:r w:rsidR="001D0D43" w:rsidRPr="00A12721">
        <w:rPr>
          <w:rFonts w:ascii="Cambria" w:hAnsi="Cambria" w:cs="Times New Roman"/>
        </w:rPr>
        <w:t>tworzy</w:t>
      </w:r>
      <w:r w:rsidR="001D0D43">
        <w:rPr>
          <w:rFonts w:ascii="Cambria" w:hAnsi="Cambria" w:cs="Times New Roman"/>
        </w:rPr>
        <w:t xml:space="preserve">ł </w:t>
      </w:r>
      <w:r w:rsidRPr="00A12721">
        <w:rPr>
          <w:rFonts w:ascii="Cambria" w:hAnsi="Cambria" w:cs="Times New Roman"/>
        </w:rPr>
        <w:t xml:space="preserve">podstawy dla dualnego modelu społeczeństwa, w którym dominacja </w:t>
      </w:r>
      <w:r w:rsidRPr="00A12721">
        <w:rPr>
          <w:rFonts w:ascii="Cambria" w:hAnsi="Cambria" w:cs="Times New Roman"/>
        </w:rPr>
        <w:lastRenderedPageBreak/>
        <w:t>muzułmańska nie oznaczała natychmiastowej konwersji religijnej, lecz raczej stopniową przebudowę porządku społeczno-instytucjonalnego.</w:t>
      </w:r>
    </w:p>
    <w:p w14:paraId="2C8E6045" w14:textId="77777777" w:rsidR="00A12721" w:rsidRPr="00A12721" w:rsidRDefault="00A12721" w:rsidP="00A12721">
      <w:pPr>
        <w:spacing w:line="276" w:lineRule="auto"/>
        <w:rPr>
          <w:rFonts w:ascii="Cambria" w:hAnsi="Cambria" w:cs="Times New Roman"/>
        </w:rPr>
      </w:pPr>
    </w:p>
    <w:p w14:paraId="1B1AD4D4" w14:textId="6374746C" w:rsidR="00A12721" w:rsidRPr="005F086E" w:rsidRDefault="00A12721" w:rsidP="00A12721">
      <w:pPr>
        <w:spacing w:line="276" w:lineRule="auto"/>
        <w:rPr>
          <w:rFonts w:ascii="Cambria" w:hAnsi="Cambria" w:cs="Times New Roman"/>
        </w:rPr>
      </w:pPr>
      <w:r w:rsidRPr="005F086E">
        <w:rPr>
          <w:rFonts w:ascii="Cambria" w:hAnsi="Cambria" w:cs="Times New Roman"/>
        </w:rPr>
        <w:t xml:space="preserve">W drugiej połowie VII wieku doszło do intensyfikacji procesu arabizacji administracyjnej Egiptu. </w:t>
      </w:r>
      <w:r w:rsidR="003B12E8" w:rsidRPr="005F086E">
        <w:rPr>
          <w:rFonts w:ascii="Cambria" w:hAnsi="Cambria" w:cs="Times New Roman"/>
        </w:rPr>
        <w:t xml:space="preserve">W roku 700/701 CE (81 AH) kalif </w:t>
      </w:r>
      <w:proofErr w:type="spellStart"/>
      <w:r w:rsidR="003B12E8" w:rsidRPr="005F086E">
        <w:rPr>
          <w:rFonts w:ascii="Cambria" w:hAnsi="Cambria" w:cs="Times New Roman"/>
        </w:rPr>
        <w:t>ʿAbd</w:t>
      </w:r>
      <w:proofErr w:type="spellEnd"/>
      <w:r w:rsidR="003B12E8" w:rsidRPr="005F086E">
        <w:rPr>
          <w:rFonts w:ascii="Cambria" w:hAnsi="Cambria" w:cs="Times New Roman"/>
        </w:rPr>
        <w:t xml:space="preserve"> al-Malik wydał dekret zastępujący greckie i koptyjskie kancelarie fiskalne arabskimi rejestrami </w:t>
      </w:r>
      <w:proofErr w:type="spellStart"/>
      <w:r w:rsidR="003B12E8" w:rsidRPr="005F086E">
        <w:rPr>
          <w:rFonts w:ascii="Cambria" w:hAnsi="Cambria" w:cs="Times New Roman"/>
        </w:rPr>
        <w:t>dīwān</w:t>
      </w:r>
      <w:proofErr w:type="spellEnd"/>
      <w:r w:rsidR="003B12E8" w:rsidRPr="005F086E">
        <w:rPr>
          <w:rFonts w:ascii="Cambria" w:hAnsi="Cambria" w:cs="Times New Roman"/>
        </w:rPr>
        <w:t xml:space="preserve"> – rozporządzenie to objęło początkowo Syrię i Irak, a do Egiptu dotarło około 705/706 CE za rządów </w:t>
      </w:r>
      <w:proofErr w:type="spellStart"/>
      <w:r w:rsidR="003B12E8" w:rsidRPr="005F086E">
        <w:rPr>
          <w:rFonts w:ascii="Cambria" w:hAnsi="Cambria" w:cs="Times New Roman"/>
        </w:rPr>
        <w:t>ʿAbda</w:t>
      </w:r>
      <w:proofErr w:type="spellEnd"/>
      <w:r w:rsidR="003B12E8" w:rsidRPr="005F086E">
        <w:rPr>
          <w:rFonts w:ascii="Cambria" w:hAnsi="Cambria" w:cs="Times New Roman"/>
        </w:rPr>
        <w:t xml:space="preserve"> al-</w:t>
      </w:r>
      <w:proofErr w:type="spellStart"/>
      <w:r w:rsidR="003B12E8" w:rsidRPr="005F086E">
        <w:rPr>
          <w:rFonts w:ascii="Cambria" w:hAnsi="Cambria" w:cs="Times New Roman"/>
        </w:rPr>
        <w:t>Walīda</w:t>
      </w:r>
      <w:proofErr w:type="spellEnd"/>
      <w:r w:rsidR="003B12E8" w:rsidRPr="005F086E">
        <w:rPr>
          <w:rFonts w:ascii="Cambria" w:hAnsi="Cambria" w:cs="Times New Roman"/>
        </w:rPr>
        <w:t xml:space="preserve"> i gubernatora </w:t>
      </w:r>
      <w:proofErr w:type="spellStart"/>
      <w:r w:rsidR="003B12E8" w:rsidRPr="005F086E">
        <w:rPr>
          <w:rFonts w:ascii="Cambria" w:hAnsi="Cambria" w:cs="Times New Roman"/>
        </w:rPr>
        <w:t>Abd</w:t>
      </w:r>
      <w:proofErr w:type="spellEnd"/>
      <w:r w:rsidR="003B12E8" w:rsidRPr="005F086E">
        <w:rPr>
          <w:rFonts w:ascii="Cambria" w:hAnsi="Cambria" w:cs="Times New Roman"/>
        </w:rPr>
        <w:t xml:space="preserve"> </w:t>
      </w:r>
      <w:proofErr w:type="spellStart"/>
      <w:r w:rsidR="003B12E8" w:rsidRPr="005F086E">
        <w:rPr>
          <w:rFonts w:ascii="Cambria" w:hAnsi="Cambria" w:cs="Times New Roman"/>
        </w:rPr>
        <w:t>Allāha</w:t>
      </w:r>
      <w:proofErr w:type="spellEnd"/>
      <w:r w:rsidR="003B12E8" w:rsidRPr="005F086E">
        <w:rPr>
          <w:rFonts w:ascii="Cambria" w:hAnsi="Cambria" w:cs="Times New Roman"/>
        </w:rPr>
        <w:t xml:space="preserve"> ibn </w:t>
      </w:r>
      <w:proofErr w:type="spellStart"/>
      <w:r w:rsidR="003B12E8" w:rsidRPr="005F086E">
        <w:rPr>
          <w:rFonts w:ascii="Cambria" w:hAnsi="Cambria" w:cs="Times New Roman"/>
        </w:rPr>
        <w:t>ʿAbda</w:t>
      </w:r>
      <w:proofErr w:type="spellEnd"/>
      <w:r w:rsidR="003B12E8" w:rsidRPr="005F086E">
        <w:rPr>
          <w:rFonts w:ascii="Cambria" w:hAnsi="Cambria" w:cs="Times New Roman"/>
        </w:rPr>
        <w:t xml:space="preserve"> al-Malika. W kolejnych latach, pod rządami al-</w:t>
      </w:r>
      <w:proofErr w:type="spellStart"/>
      <w:r w:rsidR="003B12E8" w:rsidRPr="005F086E">
        <w:rPr>
          <w:rFonts w:ascii="Cambria" w:hAnsi="Cambria" w:cs="Times New Roman"/>
        </w:rPr>
        <w:t>Ḥajjāja</w:t>
      </w:r>
      <w:proofErr w:type="spellEnd"/>
      <w:r w:rsidR="003B12E8" w:rsidRPr="005F086E">
        <w:rPr>
          <w:rFonts w:ascii="Cambria" w:hAnsi="Cambria" w:cs="Times New Roman"/>
        </w:rPr>
        <w:t xml:space="preserve"> ibn </w:t>
      </w:r>
      <w:proofErr w:type="spellStart"/>
      <w:r w:rsidR="003B12E8" w:rsidRPr="005F086E">
        <w:rPr>
          <w:rFonts w:ascii="Cambria" w:hAnsi="Cambria" w:cs="Times New Roman"/>
        </w:rPr>
        <w:t>Yūsufa</w:t>
      </w:r>
      <w:proofErr w:type="spellEnd"/>
      <w:r w:rsidR="003B12E8" w:rsidRPr="005F086E">
        <w:rPr>
          <w:rFonts w:ascii="Cambria" w:hAnsi="Cambria" w:cs="Times New Roman"/>
        </w:rPr>
        <w:t xml:space="preserve"> i kolejnych namiestników, stopniowo likwidowano urzędy </w:t>
      </w:r>
      <w:proofErr w:type="spellStart"/>
      <w:r w:rsidR="003B12E8" w:rsidRPr="005F086E">
        <w:rPr>
          <w:rFonts w:ascii="Cambria" w:hAnsi="Cambria" w:cs="Times New Roman"/>
        </w:rPr>
        <w:t>pagarchów</w:t>
      </w:r>
      <w:proofErr w:type="spellEnd"/>
      <w:r w:rsidR="003B12E8" w:rsidRPr="005F086E">
        <w:rPr>
          <w:rFonts w:ascii="Cambria" w:hAnsi="Cambria" w:cs="Times New Roman"/>
        </w:rPr>
        <w:t xml:space="preserve">, zastępując je centralnie mianowanymi arabskimi urzędnikami skarbowymi. Do lat 20. VIII w. dokumenty urzędowe z </w:t>
      </w:r>
      <w:proofErr w:type="spellStart"/>
      <w:r w:rsidR="003B12E8" w:rsidRPr="005F086E">
        <w:rPr>
          <w:rFonts w:ascii="Cambria" w:hAnsi="Cambria" w:cs="Times New Roman"/>
        </w:rPr>
        <w:t>Fustātu</w:t>
      </w:r>
      <w:proofErr w:type="spellEnd"/>
      <w:r w:rsidR="003B12E8" w:rsidRPr="005F086E">
        <w:rPr>
          <w:rFonts w:ascii="Cambria" w:hAnsi="Cambria" w:cs="Times New Roman"/>
        </w:rPr>
        <w:t xml:space="preserve"> niemal wyłącznie spisywano w języku arabskim, co oznaczało praktyczne wypchnięcie koptyjskiego z oficjalnej korespondencji i ewidencji. Reformy te wzmocniły bezpośrednią kontrolę Damasku nad Egiptem i – poprzez obciążenie niemuzułmańskich elit wyższym </w:t>
      </w:r>
      <w:proofErr w:type="spellStart"/>
      <w:r w:rsidR="003C0522" w:rsidRPr="003C0522">
        <w:rPr>
          <w:rFonts w:ascii="Cambria" w:hAnsi="Cambria" w:cs="Times New Roman"/>
        </w:rPr>
        <w:t>charadż</w:t>
      </w:r>
      <w:r w:rsidR="003C0522">
        <w:rPr>
          <w:rFonts w:ascii="Cambria" w:hAnsi="Cambria" w:cs="Times New Roman"/>
        </w:rPr>
        <w:t>em</w:t>
      </w:r>
      <w:proofErr w:type="spellEnd"/>
      <w:r w:rsidR="003C0522">
        <w:rPr>
          <w:rFonts w:ascii="Cambria" w:hAnsi="Cambria" w:cs="Times New Roman"/>
        </w:rPr>
        <w:t xml:space="preserve"> </w:t>
      </w:r>
      <w:r w:rsidR="003B12E8" w:rsidRPr="005F086E">
        <w:rPr>
          <w:rFonts w:ascii="Cambria" w:hAnsi="Cambria" w:cs="Times New Roman"/>
        </w:rPr>
        <w:t xml:space="preserve">oraz </w:t>
      </w:r>
      <w:proofErr w:type="spellStart"/>
      <w:r w:rsidR="001312F6">
        <w:rPr>
          <w:rFonts w:ascii="Cambria" w:hAnsi="Cambria" w:cs="Times New Roman"/>
        </w:rPr>
        <w:t>d</w:t>
      </w:r>
      <w:r w:rsidR="001312F6" w:rsidRPr="001312F6">
        <w:rPr>
          <w:rFonts w:ascii="Cambria" w:hAnsi="Cambria" w:cs="Times New Roman"/>
        </w:rPr>
        <w:t>żizja</w:t>
      </w:r>
      <w:proofErr w:type="spellEnd"/>
      <w:r w:rsidR="001312F6" w:rsidRPr="001312F6">
        <w:rPr>
          <w:rFonts w:ascii="Cambria" w:hAnsi="Cambria" w:cs="Times New Roman"/>
        </w:rPr>
        <w:t xml:space="preserve"> </w:t>
      </w:r>
      <w:r w:rsidR="003B12E8" w:rsidRPr="005F086E">
        <w:rPr>
          <w:rFonts w:ascii="Cambria" w:hAnsi="Cambria" w:cs="Times New Roman"/>
        </w:rPr>
        <w:t>– w długim okresie sprzyjały stopniowemu przechodzeniu chrześcijańskich elit na islam między VIII a X stuleciem.</w:t>
      </w:r>
    </w:p>
    <w:p w14:paraId="4A264A87" w14:textId="77777777" w:rsidR="003B12E8" w:rsidRPr="00A12721" w:rsidRDefault="003B12E8" w:rsidP="00A12721">
      <w:pPr>
        <w:spacing w:line="276" w:lineRule="auto"/>
        <w:rPr>
          <w:rFonts w:ascii="Cambria" w:hAnsi="Cambria" w:cs="Times New Roman"/>
        </w:rPr>
      </w:pPr>
    </w:p>
    <w:p w14:paraId="6F6389AD" w14:textId="10D91D79" w:rsidR="00A12721" w:rsidRPr="00A12721" w:rsidRDefault="00A12721" w:rsidP="00A12721">
      <w:pPr>
        <w:spacing w:line="276" w:lineRule="auto"/>
        <w:rPr>
          <w:rFonts w:ascii="Cambria" w:hAnsi="Cambria" w:cs="Times New Roman"/>
        </w:rPr>
      </w:pPr>
      <w:r w:rsidRPr="00A12721">
        <w:rPr>
          <w:rFonts w:ascii="Cambria" w:hAnsi="Cambria" w:cs="Times New Roman"/>
        </w:rPr>
        <w:t xml:space="preserve">Druga połowa VII wieku przyniosła intensyfikację transformacji społeczno-ekonomicznych w Egipcie, będących konsekwencją nie tylko reform administracyjnych, ale również zmieniającej się polityki fiskalnej kalifatu. Wprowadzenie jednolitego systemu podatkowego, obejmującego zarówno ludność chrześcijańską, jak i muzułmańską, spowodowało zwiększenie obciążeń nałożonych na wspólnoty nieislamskie. </w:t>
      </w:r>
      <w:proofErr w:type="spellStart"/>
      <w:r w:rsidR="001312F6">
        <w:rPr>
          <w:rFonts w:ascii="Cambria" w:hAnsi="Cambria" w:cs="Times New Roman"/>
        </w:rPr>
        <w:t>D</w:t>
      </w:r>
      <w:r w:rsidR="001312F6" w:rsidRPr="001312F6">
        <w:rPr>
          <w:rFonts w:ascii="Cambria" w:hAnsi="Cambria" w:cs="Times New Roman"/>
        </w:rPr>
        <w:t>żizja</w:t>
      </w:r>
      <w:proofErr w:type="spellEnd"/>
      <w:r w:rsidRPr="00A12721">
        <w:rPr>
          <w:rFonts w:ascii="Cambria" w:hAnsi="Cambria" w:cs="Times New Roman"/>
        </w:rPr>
        <w:t xml:space="preserve">, czyli podatek osobowy nakładany na </w:t>
      </w:r>
      <w:proofErr w:type="spellStart"/>
      <w:proofErr w:type="gramStart"/>
      <w:r w:rsidRPr="00A12721">
        <w:rPr>
          <w:rFonts w:ascii="Cambria" w:hAnsi="Cambria" w:cs="Times New Roman"/>
        </w:rPr>
        <w:t>Dhimmi</w:t>
      </w:r>
      <w:proofErr w:type="spellEnd"/>
      <w:r w:rsidRPr="00A12721">
        <w:rPr>
          <w:rFonts w:ascii="Cambria" w:hAnsi="Cambria" w:cs="Times New Roman"/>
        </w:rPr>
        <w:t>,</w:t>
      </w:r>
      <w:proofErr w:type="gramEnd"/>
      <w:r w:rsidRPr="00A12721">
        <w:rPr>
          <w:rFonts w:ascii="Cambria" w:hAnsi="Cambria" w:cs="Times New Roman"/>
        </w:rPr>
        <w:t xml:space="preserve"> oraz</w:t>
      </w:r>
      <w:r w:rsidR="00A63459">
        <w:rPr>
          <w:rFonts w:ascii="Cambria" w:hAnsi="Cambria" w:cs="Times New Roman"/>
        </w:rPr>
        <w:t xml:space="preserve"> </w:t>
      </w:r>
      <w:proofErr w:type="spellStart"/>
      <w:r w:rsidR="00A63459" w:rsidRPr="00A63459">
        <w:rPr>
          <w:rFonts w:ascii="Cambria" w:hAnsi="Cambria" w:cs="Times New Roman"/>
        </w:rPr>
        <w:t>charadż</w:t>
      </w:r>
      <w:proofErr w:type="spellEnd"/>
      <w:r w:rsidRPr="00A12721">
        <w:rPr>
          <w:rFonts w:ascii="Cambria" w:hAnsi="Cambria" w:cs="Times New Roman"/>
        </w:rPr>
        <w:t>– podatek gruntowy – stały się głównymi narzędziami fiskalnej kontroli, a ich egzekwowanie nabrało bardziej represyjnego charakteru.</w:t>
      </w:r>
    </w:p>
    <w:p w14:paraId="58A5A8AF"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Wzrost presji fiskalnej skutkował stopniową dezintegracją lokalnych struktur kościelnych i samorządowych, które wcześniej pełniły funkcje nie tylko religijne, ale także administracyjne i edukacyjne. W rezultacie elity koptyjskie coraz częściej traciły zdolność do organizowania życia społecznego, co przyczyniło się do spadku ich autorytetu oraz do postępującej marginalizacji w strukturze społecznej. Narastająca asymetria prawna i ekonomiczna między ludnością muzułmańską a chrześcijańską tworzyła warunki sprzyjające konwersji religijnej, niejednokrotnie motywowanej względami pragmatycznymi, a nie duchowymi.</w:t>
      </w:r>
    </w:p>
    <w:p w14:paraId="66451EB5" w14:textId="77777777" w:rsidR="00A12721" w:rsidRPr="00A12721" w:rsidRDefault="00A12721" w:rsidP="00A12721">
      <w:pPr>
        <w:spacing w:line="276" w:lineRule="auto"/>
        <w:rPr>
          <w:rFonts w:ascii="Cambria" w:hAnsi="Cambria" w:cs="Times New Roman"/>
        </w:rPr>
      </w:pPr>
    </w:p>
    <w:p w14:paraId="746D5D97" w14:textId="50C809C7" w:rsidR="00A12721" w:rsidRDefault="00BA4508" w:rsidP="00A12721">
      <w:pPr>
        <w:spacing w:line="276" w:lineRule="auto"/>
        <w:rPr>
          <w:rFonts w:ascii="Cambria" w:hAnsi="Cambria" w:cs="Times New Roman"/>
        </w:rPr>
      </w:pPr>
      <w:r w:rsidRPr="00BA4508">
        <w:rPr>
          <w:rFonts w:ascii="Cambria" w:hAnsi="Cambria" w:cs="Times New Roman"/>
        </w:rPr>
        <w:t>Te napięcia społeczne rozwiązane zostały w dziewiątym wieku dzięki wprowadzeniu</w:t>
      </w:r>
      <w:r w:rsidR="006D251D">
        <w:rPr>
          <w:rFonts w:ascii="Cambria" w:hAnsi="Cambria" w:cs="Times New Roman"/>
        </w:rPr>
        <w:t xml:space="preserve"> systemu </w:t>
      </w:r>
      <w:proofErr w:type="spellStart"/>
      <w:r w:rsidRPr="00BA4508">
        <w:rPr>
          <w:rFonts w:ascii="Cambria" w:hAnsi="Cambria" w:cs="Times New Roman"/>
        </w:rPr>
        <w:t>qabala</w:t>
      </w:r>
      <w:proofErr w:type="spellEnd"/>
      <w:r>
        <w:rPr>
          <w:rFonts w:ascii="Cambria" w:hAnsi="Cambria" w:cs="Times New Roman"/>
        </w:rPr>
        <w:t xml:space="preserve"> (wykupowanie)</w:t>
      </w:r>
      <w:r w:rsidRPr="00BA4508">
        <w:rPr>
          <w:rFonts w:ascii="Cambria" w:hAnsi="Cambria" w:cs="Times New Roman"/>
        </w:rPr>
        <w:t>, aby zwiększyć obszary kultywowane. W tym czasie z terenów nadających się do rolnictwa</w:t>
      </w:r>
      <w:r w:rsidR="00285D12">
        <w:rPr>
          <w:rFonts w:ascii="Cambria" w:hAnsi="Cambria" w:cs="Times New Roman"/>
        </w:rPr>
        <w:t xml:space="preserve"> jedynie około jedna trzecia </w:t>
      </w:r>
      <w:r w:rsidRPr="00BA4508">
        <w:rPr>
          <w:rFonts w:ascii="Cambria" w:hAnsi="Cambria" w:cs="Times New Roman"/>
        </w:rPr>
        <w:t>był</w:t>
      </w:r>
      <w:r w:rsidR="00C628F6">
        <w:rPr>
          <w:rFonts w:ascii="Cambria" w:hAnsi="Cambria" w:cs="Times New Roman"/>
        </w:rPr>
        <w:t>a</w:t>
      </w:r>
      <w:r w:rsidRPr="00BA4508">
        <w:rPr>
          <w:rFonts w:ascii="Cambria" w:hAnsi="Cambria" w:cs="Times New Roman"/>
        </w:rPr>
        <w:t xml:space="preserve"> aktywnie zasiewan</w:t>
      </w:r>
      <w:r w:rsidR="00E21E6E">
        <w:rPr>
          <w:rFonts w:ascii="Cambria" w:hAnsi="Cambria" w:cs="Times New Roman"/>
        </w:rPr>
        <w:t>a</w:t>
      </w:r>
      <w:r w:rsidRPr="00BA4508">
        <w:rPr>
          <w:rFonts w:ascii="Cambria" w:hAnsi="Cambria" w:cs="Times New Roman"/>
        </w:rPr>
        <w:t xml:space="preserve">. </w:t>
      </w:r>
      <w:proofErr w:type="spellStart"/>
      <w:r w:rsidRPr="00BA4508">
        <w:rPr>
          <w:rFonts w:ascii="Cambria" w:hAnsi="Cambria" w:cs="Times New Roman"/>
        </w:rPr>
        <w:t>Mutawabbil</w:t>
      </w:r>
      <w:proofErr w:type="spellEnd"/>
      <w:r w:rsidRPr="00BA4508">
        <w:rPr>
          <w:rFonts w:ascii="Cambria" w:hAnsi="Cambria" w:cs="Times New Roman"/>
        </w:rPr>
        <w:t xml:space="preserve"> (kontraktor) zawierał umowę z </w:t>
      </w:r>
      <w:proofErr w:type="spellStart"/>
      <w:r w:rsidRPr="00BA4508">
        <w:rPr>
          <w:rFonts w:ascii="Cambria" w:hAnsi="Cambria" w:cs="Times New Roman"/>
        </w:rPr>
        <w:t>amilem</w:t>
      </w:r>
      <w:proofErr w:type="spellEnd"/>
      <w:r w:rsidR="006C45FA">
        <w:rPr>
          <w:rFonts w:ascii="Cambria" w:hAnsi="Cambria" w:cs="Times New Roman"/>
        </w:rPr>
        <w:t xml:space="preserve"> (zarządcą</w:t>
      </w:r>
      <w:r w:rsidR="00FE7267">
        <w:rPr>
          <w:rFonts w:ascii="Cambria" w:hAnsi="Cambria" w:cs="Times New Roman"/>
        </w:rPr>
        <w:t xml:space="preserve"> całego Egiptu</w:t>
      </w:r>
      <w:r w:rsidR="006C45FA">
        <w:rPr>
          <w:rFonts w:ascii="Cambria" w:hAnsi="Cambria" w:cs="Times New Roman"/>
        </w:rPr>
        <w:t>)</w:t>
      </w:r>
      <w:r w:rsidRPr="00BA4508">
        <w:rPr>
          <w:rFonts w:ascii="Cambria" w:hAnsi="Cambria" w:cs="Times New Roman"/>
        </w:rPr>
        <w:t xml:space="preserve"> i za określoną sumę przejmował część obowiązków </w:t>
      </w:r>
      <w:proofErr w:type="spellStart"/>
      <w:r w:rsidRPr="00BA4508">
        <w:rPr>
          <w:rFonts w:ascii="Cambria" w:hAnsi="Cambria" w:cs="Times New Roman"/>
        </w:rPr>
        <w:t>pagarchy</w:t>
      </w:r>
      <w:proofErr w:type="spellEnd"/>
      <w:r w:rsidRPr="00BA4508">
        <w:rPr>
          <w:rFonts w:ascii="Cambria" w:hAnsi="Cambria" w:cs="Times New Roman"/>
        </w:rPr>
        <w:t xml:space="preserve"> na danym </w:t>
      </w:r>
      <w:r w:rsidRPr="00BA4508">
        <w:rPr>
          <w:rFonts w:ascii="Cambria" w:hAnsi="Cambria" w:cs="Times New Roman"/>
        </w:rPr>
        <w:lastRenderedPageBreak/>
        <w:t xml:space="preserve">obszarze. Umowy te były zawierane z reguły na korzystnych dla </w:t>
      </w:r>
      <w:proofErr w:type="spellStart"/>
      <w:r w:rsidRPr="00BA4508">
        <w:rPr>
          <w:rFonts w:ascii="Cambria" w:hAnsi="Cambria" w:cs="Times New Roman"/>
        </w:rPr>
        <w:t>Mutawabbil</w:t>
      </w:r>
      <w:proofErr w:type="spellEnd"/>
      <w:r w:rsidRPr="00BA4508">
        <w:rPr>
          <w:rFonts w:ascii="Cambria" w:hAnsi="Cambria" w:cs="Times New Roman"/>
        </w:rPr>
        <w:t xml:space="preserve"> warunkach, ponieważ dotyczyły terenów jeszcze nie kultywowanych. Ze względu na to taki kontraktor mógł zaoferować bardzo niskie podatki, co przyciągało chłopów i zarazem </w:t>
      </w:r>
      <w:proofErr w:type="spellStart"/>
      <w:r w:rsidRPr="00BA4508">
        <w:rPr>
          <w:rFonts w:ascii="Cambria" w:hAnsi="Cambria" w:cs="Times New Roman"/>
        </w:rPr>
        <w:t>rowiązywało</w:t>
      </w:r>
      <w:proofErr w:type="spellEnd"/>
      <w:r w:rsidRPr="00BA4508">
        <w:rPr>
          <w:rFonts w:ascii="Cambria" w:hAnsi="Cambria" w:cs="Times New Roman"/>
        </w:rPr>
        <w:t xml:space="preserve"> problem z migracją. Pojawiają się również </w:t>
      </w:r>
      <w:proofErr w:type="spellStart"/>
      <w:r w:rsidRPr="00BA4508">
        <w:rPr>
          <w:rFonts w:ascii="Cambria" w:hAnsi="Cambria" w:cs="Times New Roman"/>
        </w:rPr>
        <w:t>inforamcje</w:t>
      </w:r>
      <w:proofErr w:type="spellEnd"/>
      <w:r w:rsidRPr="00BA4508">
        <w:rPr>
          <w:rFonts w:ascii="Cambria" w:hAnsi="Cambria" w:cs="Times New Roman"/>
        </w:rPr>
        <w:t xml:space="preserve"> o umowach zawieranych przez pojedynczych chłopów. Obserwujemy także tutaj kolejny wzrost populacji</w:t>
      </w:r>
    </w:p>
    <w:p w14:paraId="4F01F59D" w14:textId="77777777" w:rsidR="00BA4508" w:rsidRPr="00A12721" w:rsidRDefault="00BA4508" w:rsidP="00A12721">
      <w:pPr>
        <w:spacing w:line="276" w:lineRule="auto"/>
        <w:rPr>
          <w:rFonts w:ascii="Cambria" w:hAnsi="Cambria" w:cs="Times New Roman"/>
        </w:rPr>
      </w:pPr>
    </w:p>
    <w:p w14:paraId="22AC5A7A"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Lata 1066–1073 przyniosły głęboką destabilizację polityczną i administracyjną w Egipcie, zwaną potocznie okresem fitna, czyli wewnętrznej walki o władzę w ramach struktur fatymidzkich. Kryzys ten miał wielowymiarowy charakter: obejmował nie tylko spory dynastyczne i konflikty wewnętrzne w armii, ale również znaczące przemiany w systemie zarządzania ziemią i redystrybucji dochodów. W tym okresie obserwujemy osłabienie mechanizmów scentralizowanej kontroli fiskalnej oraz rozluźnienie nadzoru nad prowincjami, co umożliwiło rozwój półautonomicznych ośrodków władzy lokalnej.</w:t>
      </w:r>
    </w:p>
    <w:p w14:paraId="4917AE18"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Skutki fitny były szczególnie dotkliwe dla społeczności koptyjskiej. Z jednej strony doszło do pogłębienia marginalizacji instytucji chrześcijańskich, które wcześniej funkcjonowały w ograniczonym, lecz względnie stabilnym zakresie. Wiele klasztorów i ośrodków liturgicznych zostało zlikwidowanych bądź zubożonych, a elity duchowieństwa koptyjskiego zaczęły tracić zdolność do skutecznego reprezentowania interesów własnej społeczności wobec aparatu państwowego.</w:t>
      </w:r>
    </w:p>
    <w:p w14:paraId="2C7EBC44"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Równocześnie rozpoczęła się stopniowa ewolucja systemu nadawania i eksploatacji ziemi na rzecz klasy wojskowej — iqṭāʿ — który w kolejnych dekadach stanie się dominującym modelem organizacji gospodarczej w Egipcie. Choć pełna instytucjonalizacja tego systemu nastąpi dopiero w okresie ajjubidzkim i mameluckim, już w drugiej połowie XI wieku widoczne są zalążki tej transformacji: rozdzielanie ziemi jako formy wynagrodzenia za służbę wojskową oraz powstawanie lokalnych struktur patronackich, które wzmacniały arabskie elity muzułmańskie kosztem tradycyjnych wspólnot chrześcijańskich.</w:t>
      </w:r>
    </w:p>
    <w:p w14:paraId="1509459C" w14:textId="77777777" w:rsidR="00A12721" w:rsidRPr="00A12721" w:rsidRDefault="00A12721" w:rsidP="00A12721">
      <w:pPr>
        <w:spacing w:line="276" w:lineRule="auto"/>
        <w:rPr>
          <w:rFonts w:ascii="Cambria" w:hAnsi="Cambria" w:cs="Times New Roman"/>
        </w:rPr>
      </w:pPr>
    </w:p>
    <w:p w14:paraId="1FC04166"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 xml:space="preserve">Jednym z najistotniejszych czynników wpływających na dynamikę konwersji religijnej w średniowiecznym Egipcie była polityka fiskalna kalifatu, oparta na dwóch kluczowych instrumentach: jizyi – podatku od osób niewyznających </w:t>
      </w:r>
      <w:proofErr w:type="gramStart"/>
      <w:r w:rsidRPr="00A12721">
        <w:rPr>
          <w:rFonts w:ascii="Cambria" w:hAnsi="Cambria" w:cs="Times New Roman"/>
        </w:rPr>
        <w:t>islamu,</w:t>
      </w:r>
      <w:proofErr w:type="gramEnd"/>
      <w:r w:rsidRPr="00A12721">
        <w:rPr>
          <w:rFonts w:ascii="Cambria" w:hAnsi="Cambria" w:cs="Times New Roman"/>
        </w:rPr>
        <w:t xml:space="preserve"> oraz kharāju – daninie gruntowej. Oba te świadczenia, choć pierwotnie uzasadniane religijnie i administracyjnie, miały dalekosiężne konsekwencje społeczno-ekonomiczne, szczególnie dla ludności chrześcijańskiej, stanowiącej przez długie stulecia większość mieszkańców Egiptu.</w:t>
      </w:r>
    </w:p>
    <w:p w14:paraId="2D99A3B9"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 xml:space="preserve">Jizya była symbolicznym i materialnym wyrazem podporządkowania społeczności niemuzułmańskich porządkowi islamskiemu. Choć pierwotnie jej wysokość różnicowano według majątku płatnika, w praktyce dochodziło do licznych nadużyć, </w:t>
      </w:r>
      <w:r w:rsidRPr="00A12721">
        <w:rPr>
          <w:rFonts w:ascii="Cambria" w:hAnsi="Cambria" w:cs="Times New Roman"/>
        </w:rPr>
        <w:lastRenderedPageBreak/>
        <w:t>zwłaszcza w okresach osłabienia władzy centralnej. Egzekwowanie podatku często odbywało się w sposób represyjny, a fiskalizm lokalnych urzędników skutkował nie tylko wzrostem obciążeń, ale także systematycznym podważaniem stabilności ekonomicznej wspólnot koptyjskich.</w:t>
      </w:r>
    </w:p>
    <w:p w14:paraId="7A2AB67D" w14:textId="68AE8A15" w:rsidR="00A12721" w:rsidRPr="00A12721" w:rsidRDefault="00A55673" w:rsidP="00A12721">
      <w:pPr>
        <w:spacing w:line="276" w:lineRule="auto"/>
        <w:rPr>
          <w:rFonts w:ascii="Cambria" w:hAnsi="Cambria" w:cs="Times New Roman"/>
        </w:rPr>
      </w:pPr>
      <w:proofErr w:type="spellStart"/>
      <w:proofErr w:type="gramStart"/>
      <w:r>
        <w:rPr>
          <w:rFonts w:ascii="Cambria" w:hAnsi="Cambria" w:cs="Times New Roman"/>
        </w:rPr>
        <w:t>Charadż</w:t>
      </w:r>
      <w:proofErr w:type="spellEnd"/>
      <w:r w:rsidR="00A12721" w:rsidRPr="00A12721">
        <w:rPr>
          <w:rFonts w:ascii="Cambria" w:hAnsi="Cambria" w:cs="Times New Roman"/>
        </w:rPr>
        <w:t>,</w:t>
      </w:r>
      <w:proofErr w:type="gramEnd"/>
      <w:r w:rsidR="00A12721" w:rsidRPr="00A12721">
        <w:rPr>
          <w:rFonts w:ascii="Cambria" w:hAnsi="Cambria" w:cs="Times New Roman"/>
        </w:rPr>
        <w:t xml:space="preserve"> jako podatek gruntowy, był ściśle związany z kontrolą nad ziemią uprawną, będącą podstawowym źródłem dochodów zarówno dla państwa, jak i społeczności wiejskich. Wprowadzenie systemu qabāla i późniejsza segmentacja systemu iqṭāʿ doprowadziły do utraty przez wielu chrześcijańskich właścicieli ziemi prawa do dzierżawy oraz do pogłębiania zależności od arabskich administratorów, którym powierzano nadzór nad zbieraniem danin. Dla wielu rodzin chłopskich konwersja na islam stawała się jedynym </w:t>
      </w:r>
      <w:proofErr w:type="spellStart"/>
      <w:r w:rsidR="00A12721" w:rsidRPr="00A12721">
        <w:rPr>
          <w:rFonts w:ascii="Cambria" w:hAnsi="Cambria" w:cs="Times New Roman"/>
        </w:rPr>
        <w:t>śr</w:t>
      </w:r>
      <w:r w:rsidR="005F086E">
        <w:rPr>
          <w:rFonts w:ascii="Cambria" w:hAnsi="Cambria" w:cs="Times New Roman"/>
        </w:rPr>
        <w:t>d</w:t>
      </w:r>
      <w:r w:rsidR="00A12721" w:rsidRPr="00A12721">
        <w:rPr>
          <w:rFonts w:ascii="Cambria" w:hAnsi="Cambria" w:cs="Times New Roman"/>
        </w:rPr>
        <w:t>odkiem</w:t>
      </w:r>
      <w:proofErr w:type="spellEnd"/>
      <w:r w:rsidR="00A12721" w:rsidRPr="00A12721">
        <w:rPr>
          <w:rFonts w:ascii="Cambria" w:hAnsi="Cambria" w:cs="Times New Roman"/>
        </w:rPr>
        <w:t xml:space="preserve"> umożliwiającym uniknięcie nadmiernych obciążeń lub przynajmniej ich częściowe ograniczenie.</w:t>
      </w:r>
    </w:p>
    <w:p w14:paraId="53A7C1C9"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W kontekście tym przejście na islam nie było wyłącznie aktem religijnego przekonania, lecz także – a często przede wszystkim – decyzją strategiczną, wynikającą z kalkulacji kosztów życia w systemie dualistycznym, w którym tożsamość religijna miała bezpośrednie przełożenie na obowiązki fiskalne, status prawny i dostęp do narzędzi reprodukcji ekonomicznej. Islamizacja Egiptu jawi się zatem jako długotrwały proces akulturacji wspomagany systemowymi mechanizmami nacisku, które w subtelny, choć konsekwentny sposób promowały konwersję jako rozwiązanie pragmatyczne.</w:t>
      </w:r>
    </w:p>
    <w:p w14:paraId="65C216E8" w14:textId="77777777" w:rsidR="00A12721" w:rsidRPr="00A12721" w:rsidRDefault="00A12721" w:rsidP="00A12721">
      <w:pPr>
        <w:spacing w:line="276" w:lineRule="auto"/>
        <w:rPr>
          <w:rFonts w:ascii="Cambria" w:hAnsi="Cambria" w:cs="Times New Roman"/>
        </w:rPr>
      </w:pPr>
    </w:p>
    <w:p w14:paraId="61F5A8C8"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Proces arabizacji językowej Egiptu nie miał charakteru jednorazowego ani spontanicznego; był on wynikiem świadomej i stopniowej polityki kulturowej oraz administracyjnej realizowanej przez kolejne reżimy kalifackie. Wprowadzenie języka arabskiego jako podstawowego narzędzia komunikacji instytucjonalnej rozpoczęło się na poziomie administracyjnym – począwszy od reformy diwanu za kalifatu Abd al-Malika ibn Marwana, który około 700 roku n.e. nakazał arabizację dokumentów skarbowych. Likwidacja greckiego i koptyjskiego jako języków urzędowych miała doniosłe znaczenie dla struktury władzy i rozwarstwienia społecznego.</w:t>
      </w:r>
    </w:p>
    <w:p w14:paraId="768BEBBC"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W sferze liturgicznej, choć Kościół koptyjski zachował swoją tożsamość językową, obserwujemy zjawisko stopniowej translacji tekstów religijnych – zarówno z greki, jak i z koptyjskiego – na język arabski. Zjawisko to było odpowiedzią na rosnące niezrozumienie języka liturgii przez młodsze pokolenia wiernych, które wychowywały się już w środowisku zdominowanym przez język arabski. Arabizacja liturgii nie była więc wyłącznie przejawem uległości wobec dominującej kultury, ale również próbą adaptacji i przetrwania religijnej tożsamości w zmieniających się warunkach językowych.</w:t>
      </w:r>
    </w:p>
    <w:p w14:paraId="70DF7278" w14:textId="77777777" w:rsidR="00A12721" w:rsidRPr="00A12721" w:rsidRDefault="00A12721" w:rsidP="00A12721">
      <w:pPr>
        <w:spacing w:line="276" w:lineRule="auto"/>
        <w:rPr>
          <w:rFonts w:ascii="Cambria" w:hAnsi="Cambria" w:cs="Times New Roman"/>
        </w:rPr>
      </w:pPr>
      <w:r w:rsidRPr="00A12721">
        <w:rPr>
          <w:rFonts w:ascii="Cambria" w:hAnsi="Cambria" w:cs="Times New Roman"/>
        </w:rPr>
        <w:t xml:space="preserve">W konsekwencji tych przemian język arabski zyskał status nośnika kapitału symbolicznego i praktycznego – umożliwiał uczestnictwo w administracji, awans społeczny, a w dalszej perspektywie także dostęp do wiedzy religijnej i naukowej. Arabizacja językowa, wspierana przez instytucjonalne mechanizmy państwowe oraz </w:t>
      </w:r>
      <w:r w:rsidRPr="00A12721">
        <w:rPr>
          <w:rFonts w:ascii="Cambria" w:hAnsi="Cambria" w:cs="Times New Roman"/>
        </w:rPr>
        <w:lastRenderedPageBreak/>
        <w:t>przez presję środowiskową, okazała się jednym z najbardziej efektywnych narzędzi integracji Egiptu w obręb cywilizacji islamu, przy jednoczesnym osłabieniu tożsamości koptyjskiej i bizantyńskiej.</w:t>
      </w:r>
    </w:p>
    <w:p w14:paraId="009A6E93" w14:textId="77777777" w:rsidR="005A0E47" w:rsidRDefault="005A0E47" w:rsidP="002F3FA5">
      <w:pPr>
        <w:spacing w:line="276" w:lineRule="auto"/>
        <w:rPr>
          <w:rFonts w:ascii="Cambria" w:hAnsi="Cambria" w:cs="Times New Roman"/>
        </w:rPr>
      </w:pPr>
    </w:p>
    <w:p w14:paraId="138588BF" w14:textId="1CAB379C" w:rsidR="002F3FA5" w:rsidRPr="002F3FA5" w:rsidRDefault="002F3FA5" w:rsidP="002F3FA5">
      <w:pPr>
        <w:spacing w:line="276" w:lineRule="auto"/>
        <w:rPr>
          <w:rFonts w:ascii="Cambria" w:hAnsi="Cambria" w:cs="Times New Roman"/>
        </w:rPr>
      </w:pPr>
      <w:r w:rsidRPr="002F3FA5">
        <w:rPr>
          <w:rFonts w:ascii="Cambria" w:hAnsi="Cambria" w:cs="Times New Roman"/>
        </w:rPr>
        <w:t>Procesy arabizacji i islamizacji Egiptu po podboju arabskim w latach 639–646 miały charakter długotrwały, złożony i wielowymiarowy. W odróżnieniu od innych regionów, konwersja religijna i kulturowa w Egipcie przebiegała stopniowo, co było efektem lokalnych uwarunkowań społecznych, religijnych i administracyjnych. Kluczową rolę odegrała polityka fiskalna kalifatu, zwłaszcza systemy podatkowe (</w:t>
      </w:r>
      <w:proofErr w:type="spellStart"/>
      <w:r w:rsidRPr="002F3FA5">
        <w:rPr>
          <w:rFonts w:ascii="Cambria" w:hAnsi="Cambria" w:cs="Times New Roman"/>
        </w:rPr>
        <w:t>dżizja</w:t>
      </w:r>
      <w:proofErr w:type="spellEnd"/>
      <w:r w:rsidRPr="002F3FA5">
        <w:rPr>
          <w:rFonts w:ascii="Cambria" w:hAnsi="Cambria" w:cs="Times New Roman"/>
        </w:rPr>
        <w:t xml:space="preserve"> i </w:t>
      </w:r>
      <w:proofErr w:type="spellStart"/>
      <w:r w:rsidRPr="002F3FA5">
        <w:rPr>
          <w:rFonts w:ascii="Cambria" w:hAnsi="Cambria" w:cs="Times New Roman"/>
        </w:rPr>
        <w:t>charadż</w:t>
      </w:r>
      <w:proofErr w:type="spellEnd"/>
      <w:r w:rsidRPr="002F3FA5">
        <w:rPr>
          <w:rFonts w:ascii="Cambria" w:hAnsi="Cambria" w:cs="Times New Roman"/>
        </w:rPr>
        <w:t>), które wprowadzały istotne różnice w statusie ekonomicznym i prawnym między muzułmanami a ludnością chrześcijańską. Przeciążenie fiskalne i marginalizacja elit koptyjskich sprzyjały konwersji na islam, często motywowanej względami pragmatycznymi, a nie duchowymi.</w:t>
      </w:r>
    </w:p>
    <w:p w14:paraId="47376A71" w14:textId="04DBBB3E" w:rsidR="00A12721" w:rsidRPr="00A12721" w:rsidRDefault="002F3FA5" w:rsidP="002F3FA5">
      <w:pPr>
        <w:spacing w:line="276" w:lineRule="auto"/>
        <w:rPr>
          <w:rFonts w:ascii="Cambria" w:hAnsi="Cambria" w:cs="Times New Roman"/>
        </w:rPr>
      </w:pPr>
      <w:r w:rsidRPr="002F3FA5">
        <w:rPr>
          <w:rFonts w:ascii="Cambria" w:hAnsi="Cambria" w:cs="Times New Roman"/>
        </w:rPr>
        <w:t xml:space="preserve">Równolegle postępowała arabizacja, która objęła najpierw administrację (reforma </w:t>
      </w:r>
      <w:proofErr w:type="spellStart"/>
      <w:r w:rsidRPr="002F3FA5">
        <w:rPr>
          <w:rFonts w:ascii="Cambria" w:hAnsi="Cambria" w:cs="Times New Roman"/>
        </w:rPr>
        <w:t>diwanu</w:t>
      </w:r>
      <w:proofErr w:type="spellEnd"/>
      <w:r w:rsidRPr="002F3FA5">
        <w:rPr>
          <w:rFonts w:ascii="Cambria" w:hAnsi="Cambria" w:cs="Times New Roman"/>
        </w:rPr>
        <w:t>), a następnie edukację i przestrzeń liturgiczną. Wprowadzenie języka arabskiego jako języka urzędowego i edukacyjnego stopniowo wypierało grekę i koptyjski, prowadząc do marginalizacji tradycyjnych instytucji chrześcijańskich i ugruntowania arabskiej dominacji kulturowej. Transformacje te, wspierane przez centralne reformy i lokalne mechanizmy nacisku, przyczyniły się do głębokiej przebudowy społeczeństwa egipskiego i jego trwałej integracji w obręb cywilizacji islamu.</w:t>
      </w:r>
    </w:p>
    <w:p w14:paraId="4ABF9B23" w14:textId="77777777" w:rsidR="00A12721" w:rsidRPr="00A12721" w:rsidRDefault="00A12721" w:rsidP="00A12721">
      <w:pPr>
        <w:spacing w:line="276" w:lineRule="auto"/>
        <w:rPr>
          <w:rFonts w:ascii="Cambria" w:hAnsi="Cambria" w:cs="Times New Roman"/>
        </w:rPr>
      </w:pPr>
    </w:p>
    <w:p w14:paraId="537D936B" w14:textId="77777777" w:rsidR="00A12721" w:rsidRPr="00A12721" w:rsidRDefault="00A12721" w:rsidP="00A12721">
      <w:pPr>
        <w:spacing w:line="276" w:lineRule="auto"/>
        <w:rPr>
          <w:rFonts w:ascii="Cambria" w:hAnsi="Cambria" w:cs="Times New Roman"/>
        </w:rPr>
      </w:pPr>
    </w:p>
    <w:sectPr w:rsidR="00A12721" w:rsidRPr="00A12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A10DF" w14:textId="77777777" w:rsidR="00F347A5" w:rsidRDefault="00F347A5" w:rsidP="00A55673">
      <w:pPr>
        <w:spacing w:after="0" w:line="240" w:lineRule="auto"/>
      </w:pPr>
      <w:r>
        <w:separator/>
      </w:r>
    </w:p>
  </w:endnote>
  <w:endnote w:type="continuationSeparator" w:id="0">
    <w:p w14:paraId="49DC6183" w14:textId="77777777" w:rsidR="00F347A5" w:rsidRDefault="00F347A5" w:rsidP="00A5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40F7" w14:textId="77777777" w:rsidR="00F347A5" w:rsidRDefault="00F347A5" w:rsidP="00A55673">
      <w:pPr>
        <w:spacing w:after="0" w:line="240" w:lineRule="auto"/>
      </w:pPr>
      <w:r>
        <w:separator/>
      </w:r>
    </w:p>
  </w:footnote>
  <w:footnote w:type="continuationSeparator" w:id="0">
    <w:p w14:paraId="75555ACD" w14:textId="77777777" w:rsidR="00F347A5" w:rsidRDefault="00F347A5" w:rsidP="00A55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21"/>
    <w:rsid w:val="0005359D"/>
    <w:rsid w:val="001312F6"/>
    <w:rsid w:val="0014729E"/>
    <w:rsid w:val="001D0D43"/>
    <w:rsid w:val="001F499F"/>
    <w:rsid w:val="00254E90"/>
    <w:rsid w:val="00285D12"/>
    <w:rsid w:val="002B318E"/>
    <w:rsid w:val="002F3FA5"/>
    <w:rsid w:val="00302331"/>
    <w:rsid w:val="00322296"/>
    <w:rsid w:val="00330170"/>
    <w:rsid w:val="003B12E8"/>
    <w:rsid w:val="003C0522"/>
    <w:rsid w:val="003E3EDF"/>
    <w:rsid w:val="00446EBC"/>
    <w:rsid w:val="005460F1"/>
    <w:rsid w:val="00551163"/>
    <w:rsid w:val="005530C9"/>
    <w:rsid w:val="005A0E47"/>
    <w:rsid w:val="005B7EFD"/>
    <w:rsid w:val="005F086E"/>
    <w:rsid w:val="00642F8B"/>
    <w:rsid w:val="006C45FA"/>
    <w:rsid w:val="006D251D"/>
    <w:rsid w:val="006E27C1"/>
    <w:rsid w:val="007773E0"/>
    <w:rsid w:val="008009F6"/>
    <w:rsid w:val="008772AF"/>
    <w:rsid w:val="00A12721"/>
    <w:rsid w:val="00A55673"/>
    <w:rsid w:val="00A63459"/>
    <w:rsid w:val="00A7176C"/>
    <w:rsid w:val="00AF68B9"/>
    <w:rsid w:val="00B426F6"/>
    <w:rsid w:val="00BA4508"/>
    <w:rsid w:val="00BF2738"/>
    <w:rsid w:val="00C628F6"/>
    <w:rsid w:val="00D721CE"/>
    <w:rsid w:val="00E21E6E"/>
    <w:rsid w:val="00E61599"/>
    <w:rsid w:val="00EC7AB7"/>
    <w:rsid w:val="00F347A5"/>
    <w:rsid w:val="00FB2918"/>
    <w:rsid w:val="00FE72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D66D"/>
  <w15:chartTrackingRefBased/>
  <w15:docId w15:val="{53632441-8F1D-4C5A-A154-2DE0872D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127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A127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A1272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A1272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A1272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A1272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1272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1272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1272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1272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A1272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A1272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A1272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A1272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A1272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272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272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2721"/>
    <w:rPr>
      <w:rFonts w:eastAsiaTheme="majorEastAsia" w:cstheme="majorBidi"/>
      <w:color w:val="272727" w:themeColor="text1" w:themeTint="D8"/>
    </w:rPr>
  </w:style>
  <w:style w:type="paragraph" w:styleId="Tytu">
    <w:name w:val="Title"/>
    <w:basedOn w:val="Normalny"/>
    <w:next w:val="Normalny"/>
    <w:link w:val="TytuZnak"/>
    <w:uiPriority w:val="10"/>
    <w:qFormat/>
    <w:rsid w:val="00A1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272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1272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1272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12721"/>
    <w:pPr>
      <w:spacing w:before="160"/>
      <w:jc w:val="center"/>
    </w:pPr>
    <w:rPr>
      <w:i/>
      <w:iCs/>
      <w:color w:val="404040" w:themeColor="text1" w:themeTint="BF"/>
    </w:rPr>
  </w:style>
  <w:style w:type="character" w:customStyle="1" w:styleId="CytatZnak">
    <w:name w:val="Cytat Znak"/>
    <w:basedOn w:val="Domylnaczcionkaakapitu"/>
    <w:link w:val="Cytat"/>
    <w:uiPriority w:val="29"/>
    <w:rsid w:val="00A12721"/>
    <w:rPr>
      <w:i/>
      <w:iCs/>
      <w:color w:val="404040" w:themeColor="text1" w:themeTint="BF"/>
    </w:rPr>
  </w:style>
  <w:style w:type="paragraph" w:styleId="Akapitzlist">
    <w:name w:val="List Paragraph"/>
    <w:basedOn w:val="Normalny"/>
    <w:uiPriority w:val="34"/>
    <w:qFormat/>
    <w:rsid w:val="00A12721"/>
    <w:pPr>
      <w:ind w:left="720"/>
      <w:contextualSpacing/>
    </w:pPr>
  </w:style>
  <w:style w:type="character" w:styleId="Wyrnienieintensywne">
    <w:name w:val="Intense Emphasis"/>
    <w:basedOn w:val="Domylnaczcionkaakapitu"/>
    <w:uiPriority w:val="21"/>
    <w:qFormat/>
    <w:rsid w:val="00A12721"/>
    <w:rPr>
      <w:i/>
      <w:iCs/>
      <w:color w:val="2F5496" w:themeColor="accent1" w:themeShade="BF"/>
    </w:rPr>
  </w:style>
  <w:style w:type="paragraph" w:styleId="Cytatintensywny">
    <w:name w:val="Intense Quote"/>
    <w:basedOn w:val="Normalny"/>
    <w:next w:val="Normalny"/>
    <w:link w:val="CytatintensywnyZnak"/>
    <w:uiPriority w:val="30"/>
    <w:qFormat/>
    <w:rsid w:val="00A127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A12721"/>
    <w:rPr>
      <w:i/>
      <w:iCs/>
      <w:color w:val="2F5496" w:themeColor="accent1" w:themeShade="BF"/>
    </w:rPr>
  </w:style>
  <w:style w:type="character" w:styleId="Odwoanieintensywne">
    <w:name w:val="Intense Reference"/>
    <w:basedOn w:val="Domylnaczcionkaakapitu"/>
    <w:uiPriority w:val="32"/>
    <w:qFormat/>
    <w:rsid w:val="00A12721"/>
    <w:rPr>
      <w:b/>
      <w:bCs/>
      <w:smallCaps/>
      <w:color w:val="2F5496" w:themeColor="accent1" w:themeShade="BF"/>
      <w:spacing w:val="5"/>
    </w:rPr>
  </w:style>
  <w:style w:type="paragraph" w:styleId="Tekstprzypisukocowego">
    <w:name w:val="endnote text"/>
    <w:basedOn w:val="Normalny"/>
    <w:link w:val="TekstprzypisukocowegoZnak"/>
    <w:uiPriority w:val="99"/>
    <w:semiHidden/>
    <w:unhideWhenUsed/>
    <w:rsid w:val="00A5567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5673"/>
    <w:rPr>
      <w:sz w:val="20"/>
      <w:szCs w:val="20"/>
    </w:rPr>
  </w:style>
  <w:style w:type="character" w:styleId="Odwoanieprzypisukocowego">
    <w:name w:val="endnote reference"/>
    <w:basedOn w:val="Domylnaczcionkaakapitu"/>
    <w:uiPriority w:val="99"/>
    <w:semiHidden/>
    <w:unhideWhenUsed/>
    <w:rsid w:val="00A556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6630">
      <w:bodyDiv w:val="1"/>
      <w:marLeft w:val="0"/>
      <w:marRight w:val="0"/>
      <w:marTop w:val="0"/>
      <w:marBottom w:val="0"/>
      <w:divBdr>
        <w:top w:val="none" w:sz="0" w:space="0" w:color="auto"/>
        <w:left w:val="none" w:sz="0" w:space="0" w:color="auto"/>
        <w:bottom w:val="none" w:sz="0" w:space="0" w:color="auto"/>
        <w:right w:val="none" w:sz="0" w:space="0" w:color="auto"/>
      </w:divBdr>
    </w:div>
    <w:div w:id="333996312">
      <w:bodyDiv w:val="1"/>
      <w:marLeft w:val="0"/>
      <w:marRight w:val="0"/>
      <w:marTop w:val="0"/>
      <w:marBottom w:val="0"/>
      <w:divBdr>
        <w:top w:val="none" w:sz="0" w:space="0" w:color="auto"/>
        <w:left w:val="none" w:sz="0" w:space="0" w:color="auto"/>
        <w:bottom w:val="none" w:sz="0" w:space="0" w:color="auto"/>
        <w:right w:val="none" w:sz="0" w:space="0" w:color="auto"/>
      </w:divBdr>
    </w:div>
    <w:div w:id="755830071">
      <w:bodyDiv w:val="1"/>
      <w:marLeft w:val="0"/>
      <w:marRight w:val="0"/>
      <w:marTop w:val="0"/>
      <w:marBottom w:val="0"/>
      <w:divBdr>
        <w:top w:val="none" w:sz="0" w:space="0" w:color="auto"/>
        <w:left w:val="none" w:sz="0" w:space="0" w:color="auto"/>
        <w:bottom w:val="none" w:sz="0" w:space="0" w:color="auto"/>
        <w:right w:val="none" w:sz="0" w:space="0" w:color="auto"/>
      </w:divBdr>
    </w:div>
    <w:div w:id="892078404">
      <w:bodyDiv w:val="1"/>
      <w:marLeft w:val="0"/>
      <w:marRight w:val="0"/>
      <w:marTop w:val="0"/>
      <w:marBottom w:val="0"/>
      <w:divBdr>
        <w:top w:val="none" w:sz="0" w:space="0" w:color="auto"/>
        <w:left w:val="none" w:sz="0" w:space="0" w:color="auto"/>
        <w:bottom w:val="none" w:sz="0" w:space="0" w:color="auto"/>
        <w:right w:val="none" w:sz="0" w:space="0" w:color="auto"/>
      </w:divBdr>
      <w:divsChild>
        <w:div w:id="67771986">
          <w:marLeft w:val="0"/>
          <w:marRight w:val="0"/>
          <w:marTop w:val="0"/>
          <w:marBottom w:val="0"/>
          <w:divBdr>
            <w:top w:val="none" w:sz="0" w:space="0" w:color="auto"/>
            <w:left w:val="none" w:sz="0" w:space="0" w:color="auto"/>
            <w:bottom w:val="none" w:sz="0" w:space="0" w:color="auto"/>
            <w:right w:val="none" w:sz="0" w:space="0" w:color="auto"/>
          </w:divBdr>
          <w:divsChild>
            <w:div w:id="270430829">
              <w:marLeft w:val="0"/>
              <w:marRight w:val="0"/>
              <w:marTop w:val="0"/>
              <w:marBottom w:val="0"/>
              <w:divBdr>
                <w:top w:val="none" w:sz="0" w:space="0" w:color="auto"/>
                <w:left w:val="none" w:sz="0" w:space="0" w:color="auto"/>
                <w:bottom w:val="none" w:sz="0" w:space="0" w:color="auto"/>
                <w:right w:val="none" w:sz="0" w:space="0" w:color="auto"/>
              </w:divBdr>
            </w:div>
            <w:div w:id="1812554246">
              <w:marLeft w:val="0"/>
              <w:marRight w:val="0"/>
              <w:marTop w:val="0"/>
              <w:marBottom w:val="0"/>
              <w:divBdr>
                <w:top w:val="none" w:sz="0" w:space="0" w:color="auto"/>
                <w:left w:val="none" w:sz="0" w:space="0" w:color="auto"/>
                <w:bottom w:val="none" w:sz="0" w:space="0" w:color="auto"/>
                <w:right w:val="none" w:sz="0" w:space="0" w:color="auto"/>
              </w:divBdr>
            </w:div>
            <w:div w:id="438719942">
              <w:marLeft w:val="0"/>
              <w:marRight w:val="0"/>
              <w:marTop w:val="0"/>
              <w:marBottom w:val="0"/>
              <w:divBdr>
                <w:top w:val="none" w:sz="0" w:space="0" w:color="auto"/>
                <w:left w:val="none" w:sz="0" w:space="0" w:color="auto"/>
                <w:bottom w:val="none" w:sz="0" w:space="0" w:color="auto"/>
                <w:right w:val="none" w:sz="0" w:space="0" w:color="auto"/>
              </w:divBdr>
            </w:div>
            <w:div w:id="466432196">
              <w:marLeft w:val="0"/>
              <w:marRight w:val="0"/>
              <w:marTop w:val="0"/>
              <w:marBottom w:val="0"/>
              <w:divBdr>
                <w:top w:val="none" w:sz="0" w:space="0" w:color="auto"/>
                <w:left w:val="none" w:sz="0" w:space="0" w:color="auto"/>
                <w:bottom w:val="none" w:sz="0" w:space="0" w:color="auto"/>
                <w:right w:val="none" w:sz="0" w:space="0" w:color="auto"/>
              </w:divBdr>
            </w:div>
            <w:div w:id="2024238573">
              <w:marLeft w:val="0"/>
              <w:marRight w:val="0"/>
              <w:marTop w:val="0"/>
              <w:marBottom w:val="0"/>
              <w:divBdr>
                <w:top w:val="none" w:sz="0" w:space="0" w:color="auto"/>
                <w:left w:val="none" w:sz="0" w:space="0" w:color="auto"/>
                <w:bottom w:val="none" w:sz="0" w:space="0" w:color="auto"/>
                <w:right w:val="none" w:sz="0" w:space="0" w:color="auto"/>
              </w:divBdr>
            </w:div>
            <w:div w:id="1421565820">
              <w:marLeft w:val="0"/>
              <w:marRight w:val="0"/>
              <w:marTop w:val="0"/>
              <w:marBottom w:val="0"/>
              <w:divBdr>
                <w:top w:val="none" w:sz="0" w:space="0" w:color="auto"/>
                <w:left w:val="none" w:sz="0" w:space="0" w:color="auto"/>
                <w:bottom w:val="none" w:sz="0" w:space="0" w:color="auto"/>
                <w:right w:val="none" w:sz="0" w:space="0" w:color="auto"/>
              </w:divBdr>
            </w:div>
            <w:div w:id="775830333">
              <w:marLeft w:val="0"/>
              <w:marRight w:val="0"/>
              <w:marTop w:val="0"/>
              <w:marBottom w:val="0"/>
              <w:divBdr>
                <w:top w:val="none" w:sz="0" w:space="0" w:color="auto"/>
                <w:left w:val="none" w:sz="0" w:space="0" w:color="auto"/>
                <w:bottom w:val="none" w:sz="0" w:space="0" w:color="auto"/>
                <w:right w:val="none" w:sz="0" w:space="0" w:color="auto"/>
              </w:divBdr>
            </w:div>
            <w:div w:id="598635858">
              <w:marLeft w:val="0"/>
              <w:marRight w:val="0"/>
              <w:marTop w:val="0"/>
              <w:marBottom w:val="0"/>
              <w:divBdr>
                <w:top w:val="none" w:sz="0" w:space="0" w:color="auto"/>
                <w:left w:val="none" w:sz="0" w:space="0" w:color="auto"/>
                <w:bottom w:val="none" w:sz="0" w:space="0" w:color="auto"/>
                <w:right w:val="none" w:sz="0" w:space="0" w:color="auto"/>
              </w:divBdr>
            </w:div>
            <w:div w:id="1739934389">
              <w:marLeft w:val="0"/>
              <w:marRight w:val="0"/>
              <w:marTop w:val="0"/>
              <w:marBottom w:val="0"/>
              <w:divBdr>
                <w:top w:val="none" w:sz="0" w:space="0" w:color="auto"/>
                <w:left w:val="none" w:sz="0" w:space="0" w:color="auto"/>
                <w:bottom w:val="none" w:sz="0" w:space="0" w:color="auto"/>
                <w:right w:val="none" w:sz="0" w:space="0" w:color="auto"/>
              </w:divBdr>
            </w:div>
            <w:div w:id="838734459">
              <w:marLeft w:val="0"/>
              <w:marRight w:val="0"/>
              <w:marTop w:val="0"/>
              <w:marBottom w:val="0"/>
              <w:divBdr>
                <w:top w:val="none" w:sz="0" w:space="0" w:color="auto"/>
                <w:left w:val="none" w:sz="0" w:space="0" w:color="auto"/>
                <w:bottom w:val="none" w:sz="0" w:space="0" w:color="auto"/>
                <w:right w:val="none" w:sz="0" w:space="0" w:color="auto"/>
              </w:divBdr>
            </w:div>
            <w:div w:id="178206589">
              <w:marLeft w:val="0"/>
              <w:marRight w:val="0"/>
              <w:marTop w:val="0"/>
              <w:marBottom w:val="0"/>
              <w:divBdr>
                <w:top w:val="none" w:sz="0" w:space="0" w:color="auto"/>
                <w:left w:val="none" w:sz="0" w:space="0" w:color="auto"/>
                <w:bottom w:val="none" w:sz="0" w:space="0" w:color="auto"/>
                <w:right w:val="none" w:sz="0" w:space="0" w:color="auto"/>
              </w:divBdr>
            </w:div>
            <w:div w:id="1041595539">
              <w:marLeft w:val="0"/>
              <w:marRight w:val="0"/>
              <w:marTop w:val="0"/>
              <w:marBottom w:val="0"/>
              <w:divBdr>
                <w:top w:val="none" w:sz="0" w:space="0" w:color="auto"/>
                <w:left w:val="none" w:sz="0" w:space="0" w:color="auto"/>
                <w:bottom w:val="none" w:sz="0" w:space="0" w:color="auto"/>
                <w:right w:val="none" w:sz="0" w:space="0" w:color="auto"/>
              </w:divBdr>
            </w:div>
            <w:div w:id="1085569587">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2020233918">
              <w:marLeft w:val="0"/>
              <w:marRight w:val="0"/>
              <w:marTop w:val="0"/>
              <w:marBottom w:val="0"/>
              <w:divBdr>
                <w:top w:val="none" w:sz="0" w:space="0" w:color="auto"/>
                <w:left w:val="none" w:sz="0" w:space="0" w:color="auto"/>
                <w:bottom w:val="none" w:sz="0" w:space="0" w:color="auto"/>
                <w:right w:val="none" w:sz="0" w:space="0" w:color="auto"/>
              </w:divBdr>
            </w:div>
            <w:div w:id="1405568681">
              <w:marLeft w:val="0"/>
              <w:marRight w:val="0"/>
              <w:marTop w:val="0"/>
              <w:marBottom w:val="0"/>
              <w:divBdr>
                <w:top w:val="none" w:sz="0" w:space="0" w:color="auto"/>
                <w:left w:val="none" w:sz="0" w:space="0" w:color="auto"/>
                <w:bottom w:val="none" w:sz="0" w:space="0" w:color="auto"/>
                <w:right w:val="none" w:sz="0" w:space="0" w:color="auto"/>
              </w:divBdr>
            </w:div>
            <w:div w:id="1597714838">
              <w:marLeft w:val="0"/>
              <w:marRight w:val="0"/>
              <w:marTop w:val="0"/>
              <w:marBottom w:val="0"/>
              <w:divBdr>
                <w:top w:val="none" w:sz="0" w:space="0" w:color="auto"/>
                <w:left w:val="none" w:sz="0" w:space="0" w:color="auto"/>
                <w:bottom w:val="none" w:sz="0" w:space="0" w:color="auto"/>
                <w:right w:val="none" w:sz="0" w:space="0" w:color="auto"/>
              </w:divBdr>
            </w:div>
            <w:div w:id="1668819879">
              <w:marLeft w:val="0"/>
              <w:marRight w:val="0"/>
              <w:marTop w:val="0"/>
              <w:marBottom w:val="0"/>
              <w:divBdr>
                <w:top w:val="none" w:sz="0" w:space="0" w:color="auto"/>
                <w:left w:val="none" w:sz="0" w:space="0" w:color="auto"/>
                <w:bottom w:val="none" w:sz="0" w:space="0" w:color="auto"/>
                <w:right w:val="none" w:sz="0" w:space="0" w:color="auto"/>
              </w:divBdr>
            </w:div>
            <w:div w:id="893932176">
              <w:marLeft w:val="0"/>
              <w:marRight w:val="0"/>
              <w:marTop w:val="0"/>
              <w:marBottom w:val="0"/>
              <w:divBdr>
                <w:top w:val="none" w:sz="0" w:space="0" w:color="auto"/>
                <w:left w:val="none" w:sz="0" w:space="0" w:color="auto"/>
                <w:bottom w:val="none" w:sz="0" w:space="0" w:color="auto"/>
                <w:right w:val="none" w:sz="0" w:space="0" w:color="auto"/>
              </w:divBdr>
            </w:div>
            <w:div w:id="262884646">
              <w:marLeft w:val="0"/>
              <w:marRight w:val="0"/>
              <w:marTop w:val="0"/>
              <w:marBottom w:val="0"/>
              <w:divBdr>
                <w:top w:val="none" w:sz="0" w:space="0" w:color="auto"/>
                <w:left w:val="none" w:sz="0" w:space="0" w:color="auto"/>
                <w:bottom w:val="none" w:sz="0" w:space="0" w:color="auto"/>
                <w:right w:val="none" w:sz="0" w:space="0" w:color="auto"/>
              </w:divBdr>
            </w:div>
            <w:div w:id="10341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162">
      <w:bodyDiv w:val="1"/>
      <w:marLeft w:val="0"/>
      <w:marRight w:val="0"/>
      <w:marTop w:val="0"/>
      <w:marBottom w:val="0"/>
      <w:divBdr>
        <w:top w:val="none" w:sz="0" w:space="0" w:color="auto"/>
        <w:left w:val="none" w:sz="0" w:space="0" w:color="auto"/>
        <w:bottom w:val="none" w:sz="0" w:space="0" w:color="auto"/>
        <w:right w:val="none" w:sz="0" w:space="0" w:color="auto"/>
      </w:divBdr>
      <w:divsChild>
        <w:div w:id="1726833313">
          <w:marLeft w:val="0"/>
          <w:marRight w:val="0"/>
          <w:marTop w:val="0"/>
          <w:marBottom w:val="0"/>
          <w:divBdr>
            <w:top w:val="none" w:sz="0" w:space="0" w:color="auto"/>
            <w:left w:val="none" w:sz="0" w:space="0" w:color="auto"/>
            <w:bottom w:val="none" w:sz="0" w:space="0" w:color="auto"/>
            <w:right w:val="none" w:sz="0" w:space="0" w:color="auto"/>
          </w:divBdr>
          <w:divsChild>
            <w:div w:id="2000843843">
              <w:marLeft w:val="0"/>
              <w:marRight w:val="0"/>
              <w:marTop w:val="0"/>
              <w:marBottom w:val="0"/>
              <w:divBdr>
                <w:top w:val="none" w:sz="0" w:space="0" w:color="auto"/>
                <w:left w:val="none" w:sz="0" w:space="0" w:color="auto"/>
                <w:bottom w:val="none" w:sz="0" w:space="0" w:color="auto"/>
                <w:right w:val="none" w:sz="0" w:space="0" w:color="auto"/>
              </w:divBdr>
            </w:div>
            <w:div w:id="1337421056">
              <w:marLeft w:val="0"/>
              <w:marRight w:val="0"/>
              <w:marTop w:val="0"/>
              <w:marBottom w:val="0"/>
              <w:divBdr>
                <w:top w:val="none" w:sz="0" w:space="0" w:color="auto"/>
                <w:left w:val="none" w:sz="0" w:space="0" w:color="auto"/>
                <w:bottom w:val="none" w:sz="0" w:space="0" w:color="auto"/>
                <w:right w:val="none" w:sz="0" w:space="0" w:color="auto"/>
              </w:divBdr>
            </w:div>
            <w:div w:id="844982227">
              <w:marLeft w:val="0"/>
              <w:marRight w:val="0"/>
              <w:marTop w:val="0"/>
              <w:marBottom w:val="0"/>
              <w:divBdr>
                <w:top w:val="none" w:sz="0" w:space="0" w:color="auto"/>
                <w:left w:val="none" w:sz="0" w:space="0" w:color="auto"/>
                <w:bottom w:val="none" w:sz="0" w:space="0" w:color="auto"/>
                <w:right w:val="none" w:sz="0" w:space="0" w:color="auto"/>
              </w:divBdr>
            </w:div>
            <w:div w:id="663631511">
              <w:marLeft w:val="0"/>
              <w:marRight w:val="0"/>
              <w:marTop w:val="0"/>
              <w:marBottom w:val="0"/>
              <w:divBdr>
                <w:top w:val="none" w:sz="0" w:space="0" w:color="auto"/>
                <w:left w:val="none" w:sz="0" w:space="0" w:color="auto"/>
                <w:bottom w:val="none" w:sz="0" w:space="0" w:color="auto"/>
                <w:right w:val="none" w:sz="0" w:space="0" w:color="auto"/>
              </w:divBdr>
            </w:div>
            <w:div w:id="1777825243">
              <w:marLeft w:val="0"/>
              <w:marRight w:val="0"/>
              <w:marTop w:val="0"/>
              <w:marBottom w:val="0"/>
              <w:divBdr>
                <w:top w:val="none" w:sz="0" w:space="0" w:color="auto"/>
                <w:left w:val="none" w:sz="0" w:space="0" w:color="auto"/>
                <w:bottom w:val="none" w:sz="0" w:space="0" w:color="auto"/>
                <w:right w:val="none" w:sz="0" w:space="0" w:color="auto"/>
              </w:divBdr>
            </w:div>
            <w:div w:id="1947152367">
              <w:marLeft w:val="0"/>
              <w:marRight w:val="0"/>
              <w:marTop w:val="0"/>
              <w:marBottom w:val="0"/>
              <w:divBdr>
                <w:top w:val="none" w:sz="0" w:space="0" w:color="auto"/>
                <w:left w:val="none" w:sz="0" w:space="0" w:color="auto"/>
                <w:bottom w:val="none" w:sz="0" w:space="0" w:color="auto"/>
                <w:right w:val="none" w:sz="0" w:space="0" w:color="auto"/>
              </w:divBdr>
            </w:div>
            <w:div w:id="2061706296">
              <w:marLeft w:val="0"/>
              <w:marRight w:val="0"/>
              <w:marTop w:val="0"/>
              <w:marBottom w:val="0"/>
              <w:divBdr>
                <w:top w:val="none" w:sz="0" w:space="0" w:color="auto"/>
                <w:left w:val="none" w:sz="0" w:space="0" w:color="auto"/>
                <w:bottom w:val="none" w:sz="0" w:space="0" w:color="auto"/>
                <w:right w:val="none" w:sz="0" w:space="0" w:color="auto"/>
              </w:divBdr>
            </w:div>
            <w:div w:id="372340805">
              <w:marLeft w:val="0"/>
              <w:marRight w:val="0"/>
              <w:marTop w:val="0"/>
              <w:marBottom w:val="0"/>
              <w:divBdr>
                <w:top w:val="none" w:sz="0" w:space="0" w:color="auto"/>
                <w:left w:val="none" w:sz="0" w:space="0" w:color="auto"/>
                <w:bottom w:val="none" w:sz="0" w:space="0" w:color="auto"/>
                <w:right w:val="none" w:sz="0" w:space="0" w:color="auto"/>
              </w:divBdr>
            </w:div>
            <w:div w:id="469905723">
              <w:marLeft w:val="0"/>
              <w:marRight w:val="0"/>
              <w:marTop w:val="0"/>
              <w:marBottom w:val="0"/>
              <w:divBdr>
                <w:top w:val="none" w:sz="0" w:space="0" w:color="auto"/>
                <w:left w:val="none" w:sz="0" w:space="0" w:color="auto"/>
                <w:bottom w:val="none" w:sz="0" w:space="0" w:color="auto"/>
                <w:right w:val="none" w:sz="0" w:space="0" w:color="auto"/>
              </w:divBdr>
            </w:div>
            <w:div w:id="1051881470">
              <w:marLeft w:val="0"/>
              <w:marRight w:val="0"/>
              <w:marTop w:val="0"/>
              <w:marBottom w:val="0"/>
              <w:divBdr>
                <w:top w:val="none" w:sz="0" w:space="0" w:color="auto"/>
                <w:left w:val="none" w:sz="0" w:space="0" w:color="auto"/>
                <w:bottom w:val="none" w:sz="0" w:space="0" w:color="auto"/>
                <w:right w:val="none" w:sz="0" w:space="0" w:color="auto"/>
              </w:divBdr>
            </w:div>
            <w:div w:id="355891466">
              <w:marLeft w:val="0"/>
              <w:marRight w:val="0"/>
              <w:marTop w:val="0"/>
              <w:marBottom w:val="0"/>
              <w:divBdr>
                <w:top w:val="none" w:sz="0" w:space="0" w:color="auto"/>
                <w:left w:val="none" w:sz="0" w:space="0" w:color="auto"/>
                <w:bottom w:val="none" w:sz="0" w:space="0" w:color="auto"/>
                <w:right w:val="none" w:sz="0" w:space="0" w:color="auto"/>
              </w:divBdr>
            </w:div>
            <w:div w:id="231279137">
              <w:marLeft w:val="0"/>
              <w:marRight w:val="0"/>
              <w:marTop w:val="0"/>
              <w:marBottom w:val="0"/>
              <w:divBdr>
                <w:top w:val="none" w:sz="0" w:space="0" w:color="auto"/>
                <w:left w:val="none" w:sz="0" w:space="0" w:color="auto"/>
                <w:bottom w:val="none" w:sz="0" w:space="0" w:color="auto"/>
                <w:right w:val="none" w:sz="0" w:space="0" w:color="auto"/>
              </w:divBdr>
            </w:div>
            <w:div w:id="489757965">
              <w:marLeft w:val="0"/>
              <w:marRight w:val="0"/>
              <w:marTop w:val="0"/>
              <w:marBottom w:val="0"/>
              <w:divBdr>
                <w:top w:val="none" w:sz="0" w:space="0" w:color="auto"/>
                <w:left w:val="none" w:sz="0" w:space="0" w:color="auto"/>
                <w:bottom w:val="none" w:sz="0" w:space="0" w:color="auto"/>
                <w:right w:val="none" w:sz="0" w:space="0" w:color="auto"/>
              </w:divBdr>
            </w:div>
            <w:div w:id="264191616">
              <w:marLeft w:val="0"/>
              <w:marRight w:val="0"/>
              <w:marTop w:val="0"/>
              <w:marBottom w:val="0"/>
              <w:divBdr>
                <w:top w:val="none" w:sz="0" w:space="0" w:color="auto"/>
                <w:left w:val="none" w:sz="0" w:space="0" w:color="auto"/>
                <w:bottom w:val="none" w:sz="0" w:space="0" w:color="auto"/>
                <w:right w:val="none" w:sz="0" w:space="0" w:color="auto"/>
              </w:divBdr>
            </w:div>
            <w:div w:id="1518469313">
              <w:marLeft w:val="0"/>
              <w:marRight w:val="0"/>
              <w:marTop w:val="0"/>
              <w:marBottom w:val="0"/>
              <w:divBdr>
                <w:top w:val="none" w:sz="0" w:space="0" w:color="auto"/>
                <w:left w:val="none" w:sz="0" w:space="0" w:color="auto"/>
                <w:bottom w:val="none" w:sz="0" w:space="0" w:color="auto"/>
                <w:right w:val="none" w:sz="0" w:space="0" w:color="auto"/>
              </w:divBdr>
            </w:div>
            <w:div w:id="2126077796">
              <w:marLeft w:val="0"/>
              <w:marRight w:val="0"/>
              <w:marTop w:val="0"/>
              <w:marBottom w:val="0"/>
              <w:divBdr>
                <w:top w:val="none" w:sz="0" w:space="0" w:color="auto"/>
                <w:left w:val="none" w:sz="0" w:space="0" w:color="auto"/>
                <w:bottom w:val="none" w:sz="0" w:space="0" w:color="auto"/>
                <w:right w:val="none" w:sz="0" w:space="0" w:color="auto"/>
              </w:divBdr>
            </w:div>
            <w:div w:id="605619061">
              <w:marLeft w:val="0"/>
              <w:marRight w:val="0"/>
              <w:marTop w:val="0"/>
              <w:marBottom w:val="0"/>
              <w:divBdr>
                <w:top w:val="none" w:sz="0" w:space="0" w:color="auto"/>
                <w:left w:val="none" w:sz="0" w:space="0" w:color="auto"/>
                <w:bottom w:val="none" w:sz="0" w:space="0" w:color="auto"/>
                <w:right w:val="none" w:sz="0" w:space="0" w:color="auto"/>
              </w:divBdr>
            </w:div>
            <w:div w:id="742412724">
              <w:marLeft w:val="0"/>
              <w:marRight w:val="0"/>
              <w:marTop w:val="0"/>
              <w:marBottom w:val="0"/>
              <w:divBdr>
                <w:top w:val="none" w:sz="0" w:space="0" w:color="auto"/>
                <w:left w:val="none" w:sz="0" w:space="0" w:color="auto"/>
                <w:bottom w:val="none" w:sz="0" w:space="0" w:color="auto"/>
                <w:right w:val="none" w:sz="0" w:space="0" w:color="auto"/>
              </w:divBdr>
            </w:div>
            <w:div w:id="419909389">
              <w:marLeft w:val="0"/>
              <w:marRight w:val="0"/>
              <w:marTop w:val="0"/>
              <w:marBottom w:val="0"/>
              <w:divBdr>
                <w:top w:val="none" w:sz="0" w:space="0" w:color="auto"/>
                <w:left w:val="none" w:sz="0" w:space="0" w:color="auto"/>
                <w:bottom w:val="none" w:sz="0" w:space="0" w:color="auto"/>
                <w:right w:val="none" w:sz="0" w:space="0" w:color="auto"/>
              </w:divBdr>
            </w:div>
            <w:div w:id="1069185214">
              <w:marLeft w:val="0"/>
              <w:marRight w:val="0"/>
              <w:marTop w:val="0"/>
              <w:marBottom w:val="0"/>
              <w:divBdr>
                <w:top w:val="none" w:sz="0" w:space="0" w:color="auto"/>
                <w:left w:val="none" w:sz="0" w:space="0" w:color="auto"/>
                <w:bottom w:val="none" w:sz="0" w:space="0" w:color="auto"/>
                <w:right w:val="none" w:sz="0" w:space="0" w:color="auto"/>
              </w:divBdr>
            </w:div>
            <w:div w:id="10350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7921">
      <w:bodyDiv w:val="1"/>
      <w:marLeft w:val="0"/>
      <w:marRight w:val="0"/>
      <w:marTop w:val="0"/>
      <w:marBottom w:val="0"/>
      <w:divBdr>
        <w:top w:val="none" w:sz="0" w:space="0" w:color="auto"/>
        <w:left w:val="none" w:sz="0" w:space="0" w:color="auto"/>
        <w:bottom w:val="none" w:sz="0" w:space="0" w:color="auto"/>
        <w:right w:val="none" w:sz="0" w:space="0" w:color="auto"/>
      </w:divBdr>
    </w:div>
    <w:div w:id="191905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1543</Words>
  <Characters>11157</Characters>
  <Application>Microsoft Office Word</Application>
  <DocSecurity>0</DocSecurity>
  <Lines>179</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Pszen</dc:creator>
  <cp:keywords/>
  <dc:description/>
  <cp:lastModifiedBy>Pszen</cp:lastModifiedBy>
  <cp:revision>56</cp:revision>
  <dcterms:created xsi:type="dcterms:W3CDTF">2025-05-07T13:16:00Z</dcterms:created>
  <dcterms:modified xsi:type="dcterms:W3CDTF">2025-05-07T22:16:00Z</dcterms:modified>
</cp:coreProperties>
</file>