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863F" w14:textId="7AEDDFA3" w:rsidR="00960972" w:rsidRPr="00483B28" w:rsidRDefault="00960972" w:rsidP="00DF503A">
      <w:pPr>
        <w:spacing w:line="360" w:lineRule="auto"/>
        <w:rPr>
          <w:rFonts w:ascii="Cambria" w:hAnsi="Cambria"/>
        </w:rPr>
      </w:pPr>
      <w:r w:rsidRPr="00483B28">
        <w:rPr>
          <w:rFonts w:ascii="Cambria" w:hAnsi="Cambria"/>
        </w:rPr>
        <w:t>Dlaczego Koptowie ulegli islamizacji i arabizacji?</w:t>
      </w:r>
    </w:p>
    <w:p w14:paraId="1E2145AB" w14:textId="1C84160A" w:rsidR="00960972" w:rsidRPr="00483B28" w:rsidRDefault="00CF18DB" w:rsidP="00DF503A">
      <w:pPr>
        <w:spacing w:line="360" w:lineRule="auto"/>
        <w:rPr>
          <w:rFonts w:ascii="Cambria" w:hAnsi="Cambria"/>
        </w:rPr>
      </w:pPr>
      <w:r w:rsidRPr="00483B28">
        <w:rPr>
          <w:rFonts w:ascii="Cambria" w:hAnsi="Cambria"/>
        </w:rPr>
        <w:t xml:space="preserve">Zajęcie Egiptu przez siły arabskie w latach 639–646 stanowiło </w:t>
      </w:r>
      <w:r w:rsidR="002D3FDA">
        <w:rPr>
          <w:rFonts w:ascii="Cambria" w:hAnsi="Cambria"/>
        </w:rPr>
        <w:t xml:space="preserve">wydarzenie </w:t>
      </w:r>
      <w:r w:rsidRPr="00483B28">
        <w:rPr>
          <w:rFonts w:ascii="Cambria" w:hAnsi="Cambria"/>
        </w:rPr>
        <w:t>o znaczeniu nie tylko politycznym, ale również religijnym i kulturowym. Procesy arabizacji oraz islamizacji, które nastąpiły po militarnym przejęciu władzy, nie dokonały się w tym samym czasie co w innych miejscach podbitych przez arabów. Arabizacja — utożsamiana z adopcją języka arabskiego i wzorców kultury polityczno-administracyjnej — rozwijała się obok islamizacji, którą należy rozumieć jako stopniowe przyjmowanie islamu przez ludność rdzenną. Praca ma na odpowiedzieć na pytanie, dlaczego do tych procesów doszło i dlaczego później.</w:t>
      </w:r>
      <w:r w:rsidR="00180189">
        <w:rPr>
          <w:rFonts w:ascii="Cambria" w:hAnsi="Cambria"/>
        </w:rPr>
        <w:t xml:space="preserve"> W tym celu zajmie się historią Egiptu w momencie największych </w:t>
      </w:r>
      <w:r w:rsidR="00F41C1D">
        <w:rPr>
          <w:rFonts w:ascii="Cambria" w:hAnsi="Cambria"/>
        </w:rPr>
        <w:t xml:space="preserve">zmian dla Koptów. </w:t>
      </w:r>
      <w:r w:rsidRPr="00483B28">
        <w:rPr>
          <w:rFonts w:ascii="Cambria" w:hAnsi="Cambria"/>
        </w:rPr>
        <w:t>W szczególności podkreśla rolę przemian w systemie fiskalnym,</w:t>
      </w:r>
      <w:r w:rsidR="00481E9C">
        <w:rPr>
          <w:rFonts w:ascii="Cambria" w:hAnsi="Cambria"/>
        </w:rPr>
        <w:t xml:space="preserve"> który był jedną z głównych przyczyn</w:t>
      </w:r>
      <w:r w:rsidR="00E46D25">
        <w:rPr>
          <w:rFonts w:ascii="Cambria" w:hAnsi="Cambria"/>
        </w:rPr>
        <w:t xml:space="preserve"> przejścia Koptów z większości do małej, ale za to bogatszej mniejszości. </w:t>
      </w:r>
      <w:r w:rsidR="00481E9C">
        <w:rPr>
          <w:rFonts w:ascii="Cambria" w:hAnsi="Cambria"/>
        </w:rPr>
        <w:t xml:space="preserve"> </w:t>
      </w:r>
    </w:p>
    <w:p w14:paraId="2F001457" w14:textId="57F2DF48" w:rsidR="0049697D" w:rsidRPr="00483B28" w:rsidRDefault="00960972" w:rsidP="00DF503A">
      <w:pPr>
        <w:spacing w:line="360" w:lineRule="auto"/>
        <w:rPr>
          <w:rFonts w:ascii="Cambria" w:hAnsi="Cambria"/>
        </w:rPr>
      </w:pPr>
      <w:r w:rsidRPr="00483B28">
        <w:rPr>
          <w:rFonts w:ascii="Cambria" w:hAnsi="Cambria"/>
        </w:rPr>
        <w:t>Historia Koptów</w:t>
      </w:r>
      <w:r w:rsidR="00F32B74" w:rsidRPr="00483B28">
        <w:rPr>
          <w:rFonts w:ascii="Cambria" w:hAnsi="Cambria"/>
        </w:rPr>
        <w:t>, czyli ludności rdzennej Egiptu,</w:t>
      </w:r>
      <w:r w:rsidRPr="00483B28">
        <w:rPr>
          <w:rFonts w:ascii="Cambria" w:hAnsi="Cambria"/>
        </w:rPr>
        <w:t xml:space="preserve"> zaczyna się wraz ich odrzuceniem soboru </w:t>
      </w:r>
      <w:proofErr w:type="spellStart"/>
      <w:r w:rsidRPr="00483B28">
        <w:rPr>
          <w:rFonts w:ascii="Cambria" w:hAnsi="Cambria"/>
        </w:rPr>
        <w:t>chalcedońskiego</w:t>
      </w:r>
      <w:proofErr w:type="spellEnd"/>
      <w:r w:rsidRPr="00483B28">
        <w:rPr>
          <w:rFonts w:ascii="Cambria" w:hAnsi="Cambria"/>
        </w:rPr>
        <w:t xml:space="preserve"> w 325</w:t>
      </w:r>
      <w:r w:rsidR="00131145" w:rsidRPr="00483B28">
        <w:rPr>
          <w:rFonts w:ascii="Cambria" w:hAnsi="Cambria"/>
        </w:rPr>
        <w:t xml:space="preserve">, wierząc ze jego postanowienia przypominają nestorianizm i są sprzeczne z soborem efeskim. Dla monofizytów obie Chrystusa połączyły się w jedną. </w:t>
      </w:r>
      <w:r w:rsidRPr="00483B28">
        <w:rPr>
          <w:rFonts w:ascii="Cambria" w:hAnsi="Cambria"/>
        </w:rPr>
        <w:t xml:space="preserve">Od tamtego czasu Aleksandria miała dwóch patriarchów a herezję </w:t>
      </w:r>
      <w:r w:rsidR="00E02B51" w:rsidRPr="00483B28">
        <w:rPr>
          <w:rFonts w:ascii="Cambria" w:hAnsi="Cambria"/>
        </w:rPr>
        <w:t>monofizycką</w:t>
      </w:r>
      <w:r w:rsidRPr="00483B28">
        <w:rPr>
          <w:rFonts w:ascii="Cambria" w:hAnsi="Cambria"/>
        </w:rPr>
        <w:t xml:space="preserve"> dotykały prześladowania.</w:t>
      </w:r>
      <w:r w:rsidR="00F32B74" w:rsidRPr="00483B28">
        <w:rPr>
          <w:rFonts w:ascii="Cambria" w:hAnsi="Cambria"/>
        </w:rPr>
        <w:t xml:space="preserve"> </w:t>
      </w:r>
      <w:r w:rsidR="00A522DA" w:rsidRPr="00483B28">
        <w:rPr>
          <w:rFonts w:ascii="Cambria" w:hAnsi="Cambria"/>
        </w:rPr>
        <w:t xml:space="preserve">Po chalcedonie Egipt nadal trawiony był problemami z herezjami. Już </w:t>
      </w:r>
      <w:r w:rsidR="00E02B51" w:rsidRPr="00483B28">
        <w:rPr>
          <w:rFonts w:ascii="Cambria" w:hAnsi="Cambria"/>
        </w:rPr>
        <w:t xml:space="preserve">Jan, biskup </w:t>
      </w:r>
      <w:proofErr w:type="spellStart"/>
      <w:r w:rsidR="00E02B51" w:rsidRPr="00483B28">
        <w:rPr>
          <w:rFonts w:ascii="Cambria" w:hAnsi="Cambria"/>
        </w:rPr>
        <w:t>Burullusu</w:t>
      </w:r>
      <w:proofErr w:type="spellEnd"/>
      <w:r w:rsidR="00E02B51" w:rsidRPr="00483B28">
        <w:rPr>
          <w:rFonts w:ascii="Cambria" w:hAnsi="Cambria"/>
        </w:rPr>
        <w:t xml:space="preserve"> przestrzega przed ,,nieczystymi’’ odłamami monofizytyzmu. </w:t>
      </w:r>
      <w:r w:rsidR="00F32B74" w:rsidRPr="00483B28">
        <w:rPr>
          <w:rFonts w:ascii="Cambria" w:hAnsi="Cambria"/>
        </w:rPr>
        <w:t xml:space="preserve">W tym czasie językiem administracji był Grecki. Koptowie </w:t>
      </w:r>
      <w:r w:rsidR="005F5747" w:rsidRPr="00483B28">
        <w:rPr>
          <w:rFonts w:ascii="Cambria" w:hAnsi="Cambria"/>
        </w:rPr>
        <w:t xml:space="preserve">w liturgii i na co dzień </w:t>
      </w:r>
      <w:r w:rsidR="00F32B74" w:rsidRPr="00483B28">
        <w:rPr>
          <w:rFonts w:ascii="Cambria" w:hAnsi="Cambria"/>
        </w:rPr>
        <w:t>posługiwali się koptyjskim, językiem korzystającym z alfabetu grackiego z domieszką znaków demotycznych. Jest to podobna rola, którą zajmie już po podboju arabskim</w:t>
      </w:r>
      <w:r w:rsidR="00DF1443" w:rsidRPr="00483B28">
        <w:rPr>
          <w:rFonts w:ascii="Cambria" w:hAnsi="Cambria"/>
        </w:rPr>
        <w:t xml:space="preserve">. Ustrój Egiptu bizantyjskiego też w dużej mierze pozostanie niezmieniony przez Arabów. Grecy swoją administrację oparli na urzędnikach zwanych </w:t>
      </w:r>
      <w:proofErr w:type="spellStart"/>
      <w:r w:rsidR="00DF1443" w:rsidRPr="00483B28">
        <w:rPr>
          <w:rFonts w:ascii="Cambria" w:hAnsi="Cambria"/>
        </w:rPr>
        <w:t>pagarchami</w:t>
      </w:r>
      <w:proofErr w:type="spellEnd"/>
      <w:r w:rsidR="00DF1443" w:rsidRPr="00483B28">
        <w:rPr>
          <w:rFonts w:ascii="Cambria" w:hAnsi="Cambria"/>
        </w:rPr>
        <w:t xml:space="preserve">. Mieli oni relatywną autonomię, zajmowali się zbieraniem </w:t>
      </w:r>
      <w:r w:rsidR="008E6839" w:rsidRPr="00483B28">
        <w:rPr>
          <w:rFonts w:ascii="Cambria" w:hAnsi="Cambria"/>
        </w:rPr>
        <w:t>podatków.</w:t>
      </w:r>
      <w:r w:rsidR="00DF1443" w:rsidRPr="00483B28">
        <w:rPr>
          <w:rFonts w:ascii="Cambria" w:hAnsi="Cambria"/>
        </w:rPr>
        <w:t xml:space="preserve"> </w:t>
      </w:r>
      <w:r w:rsidR="008E6839" w:rsidRPr="00483B28">
        <w:rPr>
          <w:rFonts w:ascii="Cambria" w:hAnsi="Cambria"/>
        </w:rPr>
        <w:t>M</w:t>
      </w:r>
      <w:r w:rsidR="00DF1443" w:rsidRPr="00483B28">
        <w:rPr>
          <w:rFonts w:ascii="Cambria" w:hAnsi="Cambria"/>
        </w:rPr>
        <w:t xml:space="preserve">ieli również </w:t>
      </w:r>
      <w:r w:rsidR="00E02B51" w:rsidRPr="00483B28">
        <w:rPr>
          <w:rFonts w:ascii="Cambria" w:hAnsi="Cambria"/>
        </w:rPr>
        <w:t>kompetencje</w:t>
      </w:r>
      <w:r w:rsidR="00DF1443" w:rsidRPr="00483B28">
        <w:rPr>
          <w:rFonts w:ascii="Cambria" w:hAnsi="Cambria"/>
        </w:rPr>
        <w:t xml:space="preserve"> militarne. </w:t>
      </w:r>
      <w:r w:rsidR="002A73A2" w:rsidRPr="00483B28">
        <w:rPr>
          <w:rFonts w:ascii="Cambria" w:hAnsi="Cambria"/>
        </w:rPr>
        <w:t xml:space="preserve">Ich władza jednak dotyczyła głównie terenów wiejskich – miastami zajmowali się urzędnicy kurulni. </w:t>
      </w:r>
      <w:r w:rsidR="00DF1443" w:rsidRPr="00483B28">
        <w:rPr>
          <w:rFonts w:ascii="Cambria" w:hAnsi="Cambria"/>
        </w:rPr>
        <w:t>Duża liczba majątków egipskich była jednak poza ich kontrolą – zarządzali nimi działający pod ,,</w:t>
      </w:r>
      <w:proofErr w:type="spellStart"/>
      <w:r w:rsidR="00DF1443" w:rsidRPr="00483B28">
        <w:rPr>
          <w:rFonts w:ascii="Cambria" w:hAnsi="Cambria"/>
        </w:rPr>
        <w:t>ius</w:t>
      </w:r>
      <w:proofErr w:type="spellEnd"/>
      <w:r w:rsidR="00DF1443" w:rsidRPr="00483B28">
        <w:rPr>
          <w:rFonts w:ascii="Cambria" w:hAnsi="Cambria"/>
        </w:rPr>
        <w:t xml:space="preserve"> </w:t>
      </w:r>
      <w:proofErr w:type="spellStart"/>
      <w:r w:rsidR="00DF1443" w:rsidRPr="00483B28">
        <w:rPr>
          <w:rFonts w:ascii="Cambria" w:hAnsi="Cambria"/>
        </w:rPr>
        <w:t>atuporactorium</w:t>
      </w:r>
      <w:proofErr w:type="spellEnd"/>
      <w:r w:rsidR="00DF1443" w:rsidRPr="00483B28">
        <w:rPr>
          <w:rFonts w:ascii="Cambria" w:hAnsi="Cambria"/>
        </w:rPr>
        <w:t>’’ bogaci właściciele ziemscy</w:t>
      </w:r>
      <w:r w:rsidR="000F634D" w:rsidRPr="00483B28">
        <w:rPr>
          <w:rFonts w:ascii="Cambria" w:hAnsi="Cambria"/>
        </w:rPr>
        <w:t>.</w:t>
      </w:r>
      <w:r w:rsidR="00AF67CC" w:rsidRPr="00483B28">
        <w:rPr>
          <w:rFonts w:ascii="Cambria" w:hAnsi="Cambria"/>
        </w:rPr>
        <w:t xml:space="preserve"> System ten był nieefektywny i o wiele bardziej obciążał wieś niż bogatszych </w:t>
      </w:r>
      <w:proofErr w:type="spellStart"/>
      <w:r w:rsidR="00AF67CC" w:rsidRPr="00483B28">
        <w:rPr>
          <w:rFonts w:ascii="Cambria" w:hAnsi="Cambria"/>
        </w:rPr>
        <w:t>autopraktów</w:t>
      </w:r>
      <w:proofErr w:type="spellEnd"/>
      <w:r w:rsidR="00AF67CC" w:rsidRPr="00483B28">
        <w:rPr>
          <w:rFonts w:ascii="Cambria" w:hAnsi="Cambria"/>
        </w:rPr>
        <w:t xml:space="preserve">. </w:t>
      </w:r>
    </w:p>
    <w:p w14:paraId="54433FC3" w14:textId="69A93E68" w:rsidR="00714066" w:rsidRPr="00483B28" w:rsidRDefault="00C87DE3" w:rsidP="00DF503A">
      <w:pPr>
        <w:spacing w:line="360" w:lineRule="auto"/>
        <w:rPr>
          <w:rFonts w:ascii="Cambria" w:hAnsi="Cambria"/>
          <w:color w:val="000000"/>
        </w:rPr>
      </w:pPr>
      <w:r w:rsidRPr="00483B28">
        <w:rPr>
          <w:rFonts w:ascii="Cambria" w:hAnsi="Cambria"/>
          <w:color w:val="000000"/>
        </w:rPr>
        <w:t xml:space="preserve">Kampania militarna prowadzona przez armię arabską pod dowództwem </w:t>
      </w:r>
      <w:proofErr w:type="spellStart"/>
      <w:r w:rsidRPr="00483B28">
        <w:rPr>
          <w:rFonts w:ascii="Cambria" w:hAnsi="Cambria"/>
          <w:color w:val="000000"/>
        </w:rPr>
        <w:t>Amra</w:t>
      </w:r>
      <w:proofErr w:type="spellEnd"/>
      <w:r w:rsidRPr="00483B28">
        <w:rPr>
          <w:rFonts w:ascii="Cambria" w:hAnsi="Cambria"/>
          <w:color w:val="000000"/>
        </w:rPr>
        <w:t xml:space="preserve"> al-Asa doprowadziła do kapitulacji Aleksandrii w 642 roku, co uznaje się za symboliczne zwieńczenie procesu podboju Egiptu. Jednak nie był to faktyczny koniec, gdyż Grecy </w:t>
      </w:r>
      <w:r w:rsidRPr="00483B28">
        <w:rPr>
          <w:rFonts w:ascii="Cambria" w:hAnsi="Cambria"/>
          <w:color w:val="000000"/>
        </w:rPr>
        <w:lastRenderedPageBreak/>
        <w:t xml:space="preserve">spróbowali w 646 odbić Aleksandrię, przez co wcześniej </w:t>
      </w:r>
      <w:proofErr w:type="spellStart"/>
      <w:r w:rsidRPr="00483B28">
        <w:rPr>
          <w:rFonts w:ascii="Cambria" w:hAnsi="Cambria"/>
          <w:color w:val="000000"/>
        </w:rPr>
        <w:t>wyneg</w:t>
      </w:r>
      <w:r w:rsidR="00507E2F" w:rsidRPr="00483B28">
        <w:rPr>
          <w:rFonts w:ascii="Cambria" w:hAnsi="Cambria"/>
          <w:color w:val="000000"/>
        </w:rPr>
        <w:t>o</w:t>
      </w:r>
      <w:r w:rsidRPr="00483B28">
        <w:rPr>
          <w:rFonts w:ascii="Cambria" w:hAnsi="Cambria"/>
          <w:color w:val="000000"/>
        </w:rPr>
        <w:t>cjonowanany</w:t>
      </w:r>
      <w:proofErr w:type="spellEnd"/>
      <w:r w:rsidRPr="00483B28">
        <w:rPr>
          <w:rFonts w:ascii="Cambria" w:hAnsi="Cambria"/>
          <w:color w:val="000000"/>
        </w:rPr>
        <w:t xml:space="preserve"> pokój z </w:t>
      </w:r>
      <w:proofErr w:type="spellStart"/>
      <w:r w:rsidR="0085250A" w:rsidRPr="00483B28">
        <w:rPr>
          <w:rFonts w:ascii="Cambria" w:hAnsi="Cambria"/>
          <w:color w:val="000000"/>
        </w:rPr>
        <w:t>melkickim</w:t>
      </w:r>
      <w:proofErr w:type="spellEnd"/>
      <w:r w:rsidR="0085250A" w:rsidRPr="00483B28">
        <w:rPr>
          <w:rFonts w:ascii="Cambria" w:hAnsi="Cambria"/>
          <w:color w:val="000000"/>
        </w:rPr>
        <w:t xml:space="preserve"> patriarchą Cyrusem (w źródłach występuje pod imieniem al-</w:t>
      </w:r>
      <w:proofErr w:type="spellStart"/>
      <w:r w:rsidR="0085250A" w:rsidRPr="00483B28">
        <w:rPr>
          <w:rFonts w:ascii="Cambria" w:hAnsi="Cambria"/>
          <w:color w:val="000000"/>
        </w:rPr>
        <w:t>Muqawqis</w:t>
      </w:r>
      <w:proofErr w:type="spellEnd"/>
      <w:r w:rsidR="0085250A" w:rsidRPr="00483B28">
        <w:rPr>
          <w:rFonts w:ascii="Cambria" w:hAnsi="Cambria"/>
          <w:color w:val="000000"/>
        </w:rPr>
        <w:t>) został zerwany.</w:t>
      </w:r>
      <w:r w:rsidR="00F27C76" w:rsidRPr="00483B28">
        <w:rPr>
          <w:rFonts w:ascii="Cambria" w:hAnsi="Cambria"/>
          <w:color w:val="000000"/>
        </w:rPr>
        <w:t xml:space="preserve"> Jest to istotne, ponieważ nowy pokój, tym razem </w:t>
      </w:r>
      <w:proofErr w:type="spellStart"/>
      <w:r w:rsidR="00F27C76" w:rsidRPr="00483B28">
        <w:rPr>
          <w:rFonts w:ascii="Cambria" w:hAnsi="Cambria"/>
          <w:color w:val="000000"/>
        </w:rPr>
        <w:t>wynegocjawany</w:t>
      </w:r>
      <w:proofErr w:type="spellEnd"/>
      <w:r w:rsidR="00F27C76" w:rsidRPr="00483B28">
        <w:rPr>
          <w:rFonts w:ascii="Cambria" w:hAnsi="Cambria"/>
          <w:color w:val="000000"/>
        </w:rPr>
        <w:t xml:space="preserve"> prawdopodobnie przez koptyjskiego </w:t>
      </w:r>
      <w:proofErr w:type="spellStart"/>
      <w:r w:rsidR="00F27C76" w:rsidRPr="00483B28">
        <w:rPr>
          <w:rFonts w:ascii="Cambria" w:hAnsi="Cambria"/>
          <w:color w:val="000000"/>
        </w:rPr>
        <w:t>pariarchę</w:t>
      </w:r>
      <w:proofErr w:type="spellEnd"/>
      <w:r w:rsidR="00F27C76" w:rsidRPr="00483B28">
        <w:rPr>
          <w:rFonts w:ascii="Cambria" w:hAnsi="Cambria"/>
          <w:color w:val="000000"/>
        </w:rPr>
        <w:t xml:space="preserve"> Benjamina (który również występuje pod </w:t>
      </w:r>
      <w:proofErr w:type="spellStart"/>
      <w:r w:rsidR="00F27C76" w:rsidRPr="00483B28">
        <w:rPr>
          <w:rFonts w:ascii="Cambria" w:hAnsi="Cambria"/>
          <w:color w:val="000000"/>
        </w:rPr>
        <w:t>imeniem</w:t>
      </w:r>
      <w:proofErr w:type="spellEnd"/>
      <w:r w:rsidR="00F27C76" w:rsidRPr="00483B28">
        <w:rPr>
          <w:rFonts w:ascii="Cambria" w:hAnsi="Cambria"/>
          <w:color w:val="000000"/>
        </w:rPr>
        <w:t xml:space="preserve"> al-</w:t>
      </w:r>
      <w:proofErr w:type="spellStart"/>
      <w:r w:rsidR="00F27C76" w:rsidRPr="00483B28">
        <w:rPr>
          <w:rFonts w:ascii="Cambria" w:hAnsi="Cambria"/>
          <w:color w:val="000000"/>
        </w:rPr>
        <w:t>Muqawqis</w:t>
      </w:r>
      <w:proofErr w:type="spellEnd"/>
      <w:r w:rsidR="00F27C76" w:rsidRPr="00483B28">
        <w:rPr>
          <w:rFonts w:ascii="Cambria" w:hAnsi="Cambria"/>
          <w:color w:val="000000"/>
        </w:rPr>
        <w:t xml:space="preserve">) 1. Dotyczył tylko </w:t>
      </w:r>
      <w:proofErr w:type="spellStart"/>
      <w:r w:rsidR="00F27C76" w:rsidRPr="00483B28">
        <w:rPr>
          <w:rFonts w:ascii="Cambria" w:hAnsi="Cambria"/>
          <w:color w:val="000000"/>
        </w:rPr>
        <w:t>koptów</w:t>
      </w:r>
      <w:proofErr w:type="spellEnd"/>
      <w:r w:rsidR="00F27C76" w:rsidRPr="00483B28">
        <w:rPr>
          <w:rFonts w:ascii="Cambria" w:hAnsi="Cambria"/>
          <w:color w:val="000000"/>
        </w:rPr>
        <w:t xml:space="preserve"> 2. Nie obejmował Aleksandrii. </w:t>
      </w:r>
      <w:r w:rsidR="00863E6C" w:rsidRPr="00483B28">
        <w:rPr>
          <w:rFonts w:ascii="Cambria" w:hAnsi="Cambria"/>
          <w:color w:val="000000"/>
        </w:rPr>
        <w:t>Koptowie</w:t>
      </w:r>
      <w:r w:rsidR="00D032E4" w:rsidRPr="00483B28">
        <w:rPr>
          <w:rFonts w:ascii="Cambria" w:hAnsi="Cambria"/>
          <w:color w:val="000000"/>
        </w:rPr>
        <w:t xml:space="preserve"> d</w:t>
      </w:r>
      <w:r w:rsidR="000100E2" w:rsidRPr="00483B28">
        <w:rPr>
          <w:rFonts w:ascii="Cambria" w:hAnsi="Cambria"/>
          <w:color w:val="000000"/>
        </w:rPr>
        <w:t>osta</w:t>
      </w:r>
      <w:r w:rsidR="00E36631" w:rsidRPr="00483B28">
        <w:rPr>
          <w:rFonts w:ascii="Cambria" w:hAnsi="Cambria"/>
          <w:color w:val="000000"/>
        </w:rPr>
        <w:t xml:space="preserve">li </w:t>
      </w:r>
      <w:r w:rsidR="000100E2" w:rsidRPr="00483B28">
        <w:rPr>
          <w:rFonts w:ascii="Cambria" w:hAnsi="Cambria"/>
          <w:color w:val="000000"/>
        </w:rPr>
        <w:t xml:space="preserve">status </w:t>
      </w:r>
      <w:proofErr w:type="spellStart"/>
      <w:r w:rsidR="00C14FCA">
        <w:rPr>
          <w:rFonts w:ascii="Cambria" w:hAnsi="Cambria"/>
          <w:color w:val="000000"/>
        </w:rPr>
        <w:t>zimmi</w:t>
      </w:r>
      <w:proofErr w:type="spellEnd"/>
      <w:r w:rsidR="000100E2" w:rsidRPr="00483B28">
        <w:rPr>
          <w:rFonts w:ascii="Cambria" w:hAnsi="Cambria"/>
          <w:b/>
          <w:bCs/>
          <w:color w:val="000000"/>
        </w:rPr>
        <w:t xml:space="preserve">, </w:t>
      </w:r>
      <w:r w:rsidR="000100E2" w:rsidRPr="00483B28">
        <w:rPr>
          <w:rFonts w:ascii="Cambria" w:hAnsi="Cambria"/>
          <w:color w:val="000000"/>
        </w:rPr>
        <w:t xml:space="preserve">przez co nie narzucano im religii, natomiast musieli płacić </w:t>
      </w:r>
      <w:proofErr w:type="spellStart"/>
      <w:r w:rsidR="000100E2" w:rsidRPr="00483B28">
        <w:rPr>
          <w:rFonts w:ascii="Cambria" w:hAnsi="Cambria"/>
          <w:color w:val="000000"/>
        </w:rPr>
        <w:t>dżiszję</w:t>
      </w:r>
      <w:proofErr w:type="spellEnd"/>
      <w:r w:rsidR="000100E2" w:rsidRPr="00483B28">
        <w:rPr>
          <w:rFonts w:ascii="Cambria" w:hAnsi="Cambria"/>
          <w:color w:val="000000"/>
        </w:rPr>
        <w:t xml:space="preserve"> – podatek nakładany na głowę każdego zdolnego do pracy </w:t>
      </w:r>
      <w:r w:rsidR="00D008E4" w:rsidRPr="00483B28">
        <w:rPr>
          <w:rFonts w:ascii="Cambria" w:hAnsi="Cambria"/>
          <w:color w:val="000000"/>
        </w:rPr>
        <w:t>mężczyzny</w:t>
      </w:r>
      <w:r w:rsidR="000100E2" w:rsidRPr="00483B28">
        <w:rPr>
          <w:rFonts w:ascii="Cambria" w:hAnsi="Cambria"/>
          <w:color w:val="000000"/>
        </w:rPr>
        <w:t xml:space="preserve"> oraz </w:t>
      </w:r>
      <w:proofErr w:type="spellStart"/>
      <w:r w:rsidR="00DC718F" w:rsidRPr="00483B28">
        <w:rPr>
          <w:rFonts w:ascii="Cambria" w:hAnsi="Cambria"/>
          <w:color w:val="000000"/>
        </w:rPr>
        <w:t>charadż</w:t>
      </w:r>
      <w:proofErr w:type="spellEnd"/>
      <w:r w:rsidR="00DC718F" w:rsidRPr="00483B28">
        <w:rPr>
          <w:rFonts w:ascii="Cambria" w:hAnsi="Cambria"/>
          <w:color w:val="000000"/>
        </w:rPr>
        <w:t xml:space="preserve"> –</w:t>
      </w:r>
      <w:r w:rsidR="000100E2" w:rsidRPr="00483B28">
        <w:rPr>
          <w:rFonts w:ascii="Cambria" w:hAnsi="Cambria"/>
          <w:color w:val="000000"/>
        </w:rPr>
        <w:t xml:space="preserve"> podatek o ziemi, którego stawka była większa niż ten </w:t>
      </w:r>
      <w:r w:rsidR="00C1135A" w:rsidRPr="00483B28">
        <w:rPr>
          <w:rFonts w:ascii="Cambria" w:hAnsi="Cambria"/>
          <w:color w:val="000000"/>
        </w:rPr>
        <w:t>płacony</w:t>
      </w:r>
      <w:r w:rsidR="000100E2" w:rsidRPr="00483B28">
        <w:rPr>
          <w:rFonts w:ascii="Cambria" w:hAnsi="Cambria"/>
          <w:color w:val="000000"/>
        </w:rPr>
        <w:t xml:space="preserve"> przez </w:t>
      </w:r>
      <w:proofErr w:type="spellStart"/>
      <w:r w:rsidR="000100E2" w:rsidRPr="00483B28">
        <w:rPr>
          <w:rFonts w:ascii="Cambria" w:hAnsi="Cambria"/>
          <w:color w:val="000000"/>
        </w:rPr>
        <w:t>muzułanamów</w:t>
      </w:r>
      <w:proofErr w:type="spellEnd"/>
      <w:r w:rsidR="000100E2" w:rsidRPr="00483B28">
        <w:rPr>
          <w:rFonts w:ascii="Cambria" w:hAnsi="Cambria"/>
          <w:color w:val="000000"/>
        </w:rPr>
        <w:t xml:space="preserve">. </w:t>
      </w:r>
      <w:proofErr w:type="spellStart"/>
      <w:r w:rsidR="007916DC" w:rsidRPr="00483B28">
        <w:rPr>
          <w:rFonts w:ascii="Cambria" w:hAnsi="Cambria"/>
          <w:color w:val="000000"/>
        </w:rPr>
        <w:t>Zoobowiązani</w:t>
      </w:r>
      <w:proofErr w:type="spellEnd"/>
      <w:r w:rsidR="007916DC" w:rsidRPr="00483B28">
        <w:rPr>
          <w:rFonts w:ascii="Cambria" w:hAnsi="Cambria"/>
          <w:color w:val="000000"/>
        </w:rPr>
        <w:t xml:space="preserve"> byli </w:t>
      </w:r>
      <w:r w:rsidR="00CA6E86" w:rsidRPr="00483B28">
        <w:rPr>
          <w:rFonts w:ascii="Cambria" w:hAnsi="Cambria"/>
          <w:color w:val="000000"/>
        </w:rPr>
        <w:t>też do</w:t>
      </w:r>
      <w:r w:rsidR="007916DC" w:rsidRPr="00483B28">
        <w:rPr>
          <w:rFonts w:ascii="Cambria" w:hAnsi="Cambria"/>
          <w:color w:val="000000"/>
        </w:rPr>
        <w:t xml:space="preserve"> kilku świadczeń nie pieniężnych, takich jak w razie potrzeby zapewnienie </w:t>
      </w:r>
      <w:r w:rsidR="00181AA2" w:rsidRPr="00483B28">
        <w:rPr>
          <w:rFonts w:ascii="Cambria" w:hAnsi="Cambria"/>
          <w:color w:val="000000"/>
        </w:rPr>
        <w:t>muzułmaninowi</w:t>
      </w:r>
      <w:r w:rsidR="007916DC" w:rsidRPr="00483B28">
        <w:rPr>
          <w:rFonts w:ascii="Cambria" w:hAnsi="Cambria"/>
          <w:color w:val="000000"/>
        </w:rPr>
        <w:t xml:space="preserve"> ubrania. </w:t>
      </w:r>
      <w:r w:rsidR="00B725C1" w:rsidRPr="00483B28">
        <w:rPr>
          <w:rFonts w:ascii="Cambria" w:hAnsi="Cambria"/>
          <w:color w:val="000000"/>
        </w:rPr>
        <w:t>Konsekwencją</w:t>
      </w:r>
      <w:r w:rsidR="006069EE" w:rsidRPr="00483B28">
        <w:rPr>
          <w:rFonts w:ascii="Cambria" w:hAnsi="Cambria"/>
          <w:color w:val="000000"/>
        </w:rPr>
        <w:t xml:space="preserve"> różnic w metodzie </w:t>
      </w:r>
      <w:proofErr w:type="spellStart"/>
      <w:r w:rsidR="006069EE" w:rsidRPr="00483B28">
        <w:rPr>
          <w:rFonts w:ascii="Cambria" w:hAnsi="Cambria"/>
          <w:color w:val="000000"/>
        </w:rPr>
        <w:t>zodbycia</w:t>
      </w:r>
      <w:proofErr w:type="spellEnd"/>
      <w:r w:rsidR="006069EE" w:rsidRPr="00483B28">
        <w:rPr>
          <w:rFonts w:ascii="Cambria" w:hAnsi="Cambria"/>
          <w:color w:val="000000"/>
        </w:rPr>
        <w:t xml:space="preserve"> </w:t>
      </w:r>
      <w:r w:rsidR="00183CCE" w:rsidRPr="00483B28">
        <w:rPr>
          <w:rFonts w:ascii="Cambria" w:hAnsi="Cambria"/>
          <w:color w:val="000000"/>
        </w:rPr>
        <w:t>prowincji były</w:t>
      </w:r>
      <w:r w:rsidR="00B725C1" w:rsidRPr="00483B28">
        <w:rPr>
          <w:rFonts w:ascii="Cambria" w:hAnsi="Cambria"/>
          <w:color w:val="000000"/>
        </w:rPr>
        <w:t xml:space="preserve"> różnice w wysokości </w:t>
      </w:r>
      <w:r w:rsidR="0014311B" w:rsidRPr="00483B28">
        <w:rPr>
          <w:rFonts w:ascii="Cambria" w:hAnsi="Cambria"/>
          <w:color w:val="000000"/>
        </w:rPr>
        <w:t xml:space="preserve">pobierania </w:t>
      </w:r>
      <w:proofErr w:type="spellStart"/>
      <w:r w:rsidR="0014311B" w:rsidRPr="00483B28">
        <w:rPr>
          <w:rFonts w:ascii="Cambria" w:hAnsi="Cambria"/>
          <w:color w:val="000000"/>
        </w:rPr>
        <w:t>dżizji</w:t>
      </w:r>
      <w:proofErr w:type="spellEnd"/>
      <w:r w:rsidR="000100E2" w:rsidRPr="00483B28">
        <w:rPr>
          <w:rFonts w:ascii="Cambria" w:hAnsi="Cambria"/>
          <w:color w:val="000000"/>
        </w:rPr>
        <w:t xml:space="preserve"> między Aleksandrią a </w:t>
      </w:r>
      <w:proofErr w:type="spellStart"/>
      <w:r w:rsidR="000100E2" w:rsidRPr="00483B28">
        <w:rPr>
          <w:rFonts w:ascii="Cambria" w:hAnsi="Cambria"/>
          <w:color w:val="000000"/>
        </w:rPr>
        <w:t>pentapolis</w:t>
      </w:r>
      <w:proofErr w:type="spellEnd"/>
      <w:r w:rsidR="0014311B" w:rsidRPr="00483B28">
        <w:rPr>
          <w:rFonts w:ascii="Cambria" w:hAnsi="Cambria"/>
          <w:color w:val="000000"/>
        </w:rPr>
        <w:t>.</w:t>
      </w:r>
      <w:r w:rsidR="005D169D" w:rsidRPr="00483B28">
        <w:rPr>
          <w:rFonts w:ascii="Cambria" w:hAnsi="Cambria"/>
          <w:color w:val="000000"/>
        </w:rPr>
        <w:t xml:space="preserve"> Zdobywcy jednak na początki nie wprowadzili gwałtownych zmian</w:t>
      </w:r>
      <w:r w:rsidR="003138C9" w:rsidRPr="00483B28">
        <w:rPr>
          <w:rFonts w:ascii="Cambria" w:hAnsi="Cambria"/>
          <w:color w:val="000000"/>
        </w:rPr>
        <w:t>.</w:t>
      </w:r>
      <w:r w:rsidR="00D427F8" w:rsidRPr="00483B28">
        <w:rPr>
          <w:rFonts w:ascii="Cambria" w:hAnsi="Cambria"/>
          <w:color w:val="000000"/>
        </w:rPr>
        <w:t xml:space="preserve"> </w:t>
      </w:r>
      <w:r w:rsidR="0012047F" w:rsidRPr="00483B28">
        <w:rPr>
          <w:rFonts w:ascii="Cambria" w:hAnsi="Cambria"/>
          <w:color w:val="000000"/>
        </w:rPr>
        <w:t xml:space="preserve">Językiem administracji pozostał grecki. </w:t>
      </w:r>
      <w:r w:rsidR="00876BB6" w:rsidRPr="00483B28">
        <w:rPr>
          <w:rFonts w:ascii="Cambria" w:hAnsi="Cambria"/>
        </w:rPr>
        <w:t>Egipt</w:t>
      </w:r>
      <w:r w:rsidR="00876BB6" w:rsidRPr="00483B28">
        <w:rPr>
          <w:rFonts w:ascii="Cambria" w:hAnsi="Cambria"/>
          <w:color w:val="000000"/>
        </w:rPr>
        <w:t xml:space="preserve"> podzielono na </w:t>
      </w:r>
      <w:proofErr w:type="spellStart"/>
      <w:r w:rsidR="00876BB6" w:rsidRPr="00483B28">
        <w:rPr>
          <w:rFonts w:ascii="Cambria" w:hAnsi="Cambria"/>
          <w:color w:val="000000"/>
        </w:rPr>
        <w:t>kuwar</w:t>
      </w:r>
      <w:proofErr w:type="spellEnd"/>
      <w:r w:rsidR="00876BB6" w:rsidRPr="00483B28">
        <w:rPr>
          <w:rFonts w:ascii="Cambria" w:hAnsi="Cambria"/>
          <w:color w:val="000000"/>
        </w:rPr>
        <w:t xml:space="preserve"> (</w:t>
      </w:r>
      <w:proofErr w:type="spellStart"/>
      <w:r w:rsidR="00876BB6" w:rsidRPr="00483B28">
        <w:rPr>
          <w:rFonts w:ascii="Cambria" w:hAnsi="Cambria"/>
          <w:color w:val="000000"/>
        </w:rPr>
        <w:t>l.p</w:t>
      </w:r>
      <w:proofErr w:type="spellEnd"/>
      <w:r w:rsidR="00876BB6" w:rsidRPr="00483B28">
        <w:rPr>
          <w:rFonts w:ascii="Cambria" w:hAnsi="Cambria"/>
          <w:color w:val="000000"/>
        </w:rPr>
        <w:t xml:space="preserve"> kura)</w:t>
      </w:r>
      <w:r w:rsidR="00D32D06" w:rsidRPr="00483B28">
        <w:rPr>
          <w:rFonts w:ascii="Cambria" w:hAnsi="Cambria"/>
          <w:color w:val="000000"/>
        </w:rPr>
        <w:t xml:space="preserve"> na którego czele stał nadal </w:t>
      </w:r>
      <w:proofErr w:type="spellStart"/>
      <w:r w:rsidR="00D32D06" w:rsidRPr="00483B28">
        <w:rPr>
          <w:rFonts w:ascii="Cambria" w:hAnsi="Cambria"/>
          <w:color w:val="000000"/>
        </w:rPr>
        <w:t>pagarcha</w:t>
      </w:r>
      <w:proofErr w:type="spellEnd"/>
      <w:r w:rsidR="00DB6C9C" w:rsidRPr="00483B28">
        <w:rPr>
          <w:rFonts w:ascii="Cambria" w:hAnsi="Cambria"/>
          <w:color w:val="000000"/>
        </w:rPr>
        <w:t xml:space="preserve">, który najczęściej był </w:t>
      </w:r>
      <w:r w:rsidR="008E6839" w:rsidRPr="00483B28">
        <w:rPr>
          <w:rFonts w:ascii="Cambria" w:hAnsi="Cambria"/>
          <w:color w:val="000000"/>
        </w:rPr>
        <w:t>Koptem</w:t>
      </w:r>
      <w:r w:rsidR="00840C5D" w:rsidRPr="00483B28">
        <w:rPr>
          <w:rFonts w:ascii="Cambria" w:hAnsi="Cambria"/>
          <w:color w:val="000000"/>
        </w:rPr>
        <w:t>.</w:t>
      </w:r>
      <w:r w:rsidR="00A9434F" w:rsidRPr="00483B28">
        <w:rPr>
          <w:rFonts w:ascii="Cambria" w:hAnsi="Cambria"/>
          <w:color w:val="000000"/>
        </w:rPr>
        <w:t xml:space="preserve"> Działali oni też w relatywnej autonomii,</w:t>
      </w:r>
      <w:r w:rsidR="00F323FD" w:rsidRPr="00483B28">
        <w:rPr>
          <w:rFonts w:ascii="Cambria" w:hAnsi="Cambria"/>
          <w:color w:val="000000"/>
        </w:rPr>
        <w:t xml:space="preserve"> przez co nie musieli oni wpisywać wszystkich mieszkańców wioski na listy podatkowe, </w:t>
      </w:r>
      <w:r w:rsidR="00693C81" w:rsidRPr="00483B28">
        <w:rPr>
          <w:rFonts w:ascii="Cambria" w:hAnsi="Cambria"/>
          <w:color w:val="000000"/>
        </w:rPr>
        <w:t xml:space="preserve">co </w:t>
      </w:r>
      <w:r w:rsidR="00F323FD" w:rsidRPr="00483B28">
        <w:rPr>
          <w:rFonts w:ascii="Cambria" w:hAnsi="Cambria"/>
          <w:color w:val="000000"/>
        </w:rPr>
        <w:t>z kolei rozdzielało obciążenie finansowe wioski na większą ilość osób.</w:t>
      </w:r>
      <w:r w:rsidR="004C7F7D" w:rsidRPr="00483B28">
        <w:rPr>
          <w:rFonts w:ascii="Cambria" w:hAnsi="Cambria"/>
          <w:color w:val="000000"/>
        </w:rPr>
        <w:t xml:space="preserve"> Po podboju dochodziło również do masowych migracji z miast na wieś, oraz między wsiami, co również sprzyjało praktyce takiego </w:t>
      </w:r>
      <w:proofErr w:type="spellStart"/>
      <w:r w:rsidR="004C7F7D" w:rsidRPr="00483B28">
        <w:rPr>
          <w:rFonts w:ascii="Cambria" w:hAnsi="Cambria"/>
          <w:color w:val="000000"/>
        </w:rPr>
        <w:t>rodzielania</w:t>
      </w:r>
      <w:proofErr w:type="spellEnd"/>
      <w:r w:rsidR="004C7F7D" w:rsidRPr="00483B28">
        <w:rPr>
          <w:rFonts w:ascii="Cambria" w:hAnsi="Cambria"/>
          <w:color w:val="000000"/>
        </w:rPr>
        <w:t xml:space="preserve"> </w:t>
      </w:r>
      <w:proofErr w:type="spellStart"/>
      <w:r w:rsidR="004C7F7D" w:rsidRPr="00483B28">
        <w:rPr>
          <w:rFonts w:ascii="Cambria" w:hAnsi="Cambria"/>
          <w:color w:val="000000"/>
        </w:rPr>
        <w:t>podaktów</w:t>
      </w:r>
      <w:proofErr w:type="spellEnd"/>
      <w:r w:rsidR="004C7F7D" w:rsidRPr="00483B28">
        <w:rPr>
          <w:rFonts w:ascii="Cambria" w:hAnsi="Cambria"/>
          <w:color w:val="000000"/>
        </w:rPr>
        <w:t>.</w:t>
      </w:r>
      <w:r w:rsidR="00EC05DA" w:rsidRPr="00483B28">
        <w:rPr>
          <w:rFonts w:ascii="Cambria" w:hAnsi="Cambria"/>
          <w:color w:val="000000"/>
        </w:rPr>
        <w:t xml:space="preserve"> </w:t>
      </w:r>
      <w:r w:rsidR="0080333D" w:rsidRPr="00483B28">
        <w:rPr>
          <w:rFonts w:ascii="Cambria" w:hAnsi="Cambria"/>
          <w:color w:val="000000"/>
        </w:rPr>
        <w:t xml:space="preserve">Arabowie zlikwidowali również praktykę </w:t>
      </w:r>
      <w:proofErr w:type="spellStart"/>
      <w:r w:rsidR="0080333D" w:rsidRPr="00483B28">
        <w:rPr>
          <w:rFonts w:ascii="Cambria" w:hAnsi="Cambria"/>
          <w:color w:val="000000"/>
        </w:rPr>
        <w:t>autopragii</w:t>
      </w:r>
      <w:proofErr w:type="spellEnd"/>
      <w:r w:rsidR="0080333D" w:rsidRPr="00483B28">
        <w:rPr>
          <w:rFonts w:ascii="Cambria" w:hAnsi="Cambria"/>
          <w:color w:val="000000"/>
        </w:rPr>
        <w:t>, a wielkie posiadłości greckich możnych zostały skonfiskowany.</w:t>
      </w:r>
      <w:r w:rsidR="00B579BE" w:rsidRPr="00483B28">
        <w:rPr>
          <w:rFonts w:ascii="Cambria" w:hAnsi="Cambria"/>
          <w:color w:val="000000"/>
        </w:rPr>
        <w:t xml:space="preserve"> </w:t>
      </w:r>
      <w:r w:rsidR="008052F0" w:rsidRPr="00483B28">
        <w:rPr>
          <w:rFonts w:ascii="Cambria" w:hAnsi="Cambria"/>
          <w:color w:val="000000"/>
        </w:rPr>
        <w:t xml:space="preserve">Taki system mógł powstać jako próba zadowolenia ludności podbitej, która niewątpliwie miała się lepiej </w:t>
      </w:r>
      <w:r w:rsidR="00FE597A" w:rsidRPr="00483B28">
        <w:rPr>
          <w:rFonts w:ascii="Cambria" w:hAnsi="Cambria"/>
          <w:color w:val="000000"/>
        </w:rPr>
        <w:t>jako część państwa arabskiego.</w:t>
      </w:r>
    </w:p>
    <w:p w14:paraId="51F27A61" w14:textId="47219103" w:rsidR="001B5A77" w:rsidRPr="00483B28" w:rsidRDefault="00714066" w:rsidP="00DF503A">
      <w:pPr>
        <w:spacing w:line="360" w:lineRule="auto"/>
        <w:rPr>
          <w:rFonts w:ascii="Cambria" w:hAnsi="Cambria"/>
          <w:color w:val="000000"/>
        </w:rPr>
      </w:pPr>
      <w:r w:rsidRPr="00483B28">
        <w:rPr>
          <w:rFonts w:ascii="Cambria" w:hAnsi="Cambria"/>
          <w:color w:val="000000"/>
        </w:rPr>
        <w:t>Sytuację zmieniło jednak umocnienie się państwa arabskiego</w:t>
      </w:r>
      <w:r w:rsidR="001333E5" w:rsidRPr="00483B28">
        <w:rPr>
          <w:rFonts w:ascii="Cambria" w:hAnsi="Cambria"/>
          <w:color w:val="000000"/>
        </w:rPr>
        <w:t xml:space="preserve"> i jego zwiększonym zapotrzebowaniem finansowym </w:t>
      </w:r>
      <w:r w:rsidR="00263DE4" w:rsidRPr="00483B28">
        <w:rPr>
          <w:rFonts w:ascii="Cambria" w:hAnsi="Cambria"/>
          <w:color w:val="000000"/>
        </w:rPr>
        <w:t xml:space="preserve">w </w:t>
      </w:r>
      <w:r w:rsidR="009C7E47" w:rsidRPr="00483B28">
        <w:rPr>
          <w:rFonts w:ascii="Cambria" w:hAnsi="Cambria"/>
          <w:color w:val="000000"/>
        </w:rPr>
        <w:t xml:space="preserve">drugiej </w:t>
      </w:r>
      <w:r w:rsidR="00263DE4" w:rsidRPr="00483B28">
        <w:rPr>
          <w:rFonts w:ascii="Cambria" w:hAnsi="Cambria"/>
          <w:color w:val="000000"/>
        </w:rPr>
        <w:t>połowie VII wieku.</w:t>
      </w:r>
      <w:r w:rsidR="001B5A77" w:rsidRPr="00483B28">
        <w:rPr>
          <w:rFonts w:ascii="Cambria" w:hAnsi="Cambria"/>
          <w:color w:val="000000"/>
        </w:rPr>
        <w:t xml:space="preserve"> Zmieniono język administracji na arabski. Coraz częściej </w:t>
      </w:r>
      <w:proofErr w:type="spellStart"/>
      <w:r w:rsidR="001B5A77" w:rsidRPr="00483B28">
        <w:rPr>
          <w:rFonts w:ascii="Cambria" w:hAnsi="Cambria"/>
          <w:color w:val="000000"/>
        </w:rPr>
        <w:t>pagarchami</w:t>
      </w:r>
      <w:proofErr w:type="spellEnd"/>
      <w:r w:rsidR="001B5A77" w:rsidRPr="00483B28">
        <w:rPr>
          <w:rFonts w:ascii="Cambria" w:hAnsi="Cambria"/>
          <w:color w:val="000000"/>
        </w:rPr>
        <w:t xml:space="preserve"> zostawał mianowany przez </w:t>
      </w:r>
      <w:proofErr w:type="spellStart"/>
      <w:r w:rsidR="001B5A77" w:rsidRPr="00483B28">
        <w:rPr>
          <w:rFonts w:ascii="Cambria" w:hAnsi="Cambria"/>
          <w:color w:val="000000"/>
        </w:rPr>
        <w:t>amila</w:t>
      </w:r>
      <w:proofErr w:type="spellEnd"/>
      <w:r w:rsidR="008B15EB" w:rsidRPr="00483B28">
        <w:rPr>
          <w:rFonts w:ascii="Cambria" w:hAnsi="Cambria"/>
          <w:color w:val="000000"/>
        </w:rPr>
        <w:t xml:space="preserve"> (zarządcę finansowego prowincji)</w:t>
      </w:r>
      <w:r w:rsidR="001B5A77" w:rsidRPr="00483B28">
        <w:rPr>
          <w:rFonts w:ascii="Cambria" w:hAnsi="Cambria"/>
          <w:color w:val="000000"/>
        </w:rPr>
        <w:t xml:space="preserve"> muzułmanin.</w:t>
      </w:r>
      <w:r w:rsidR="008B15EB" w:rsidRPr="00483B28">
        <w:rPr>
          <w:rFonts w:ascii="Cambria" w:hAnsi="Cambria"/>
          <w:color w:val="000000"/>
        </w:rPr>
        <w:t xml:space="preserve"> Zaczęto ścigać migrujących między wioskami chłopów, a aby ukrócić praktykę ucieczki do stanu duchownego aby nie płacić </w:t>
      </w:r>
      <w:proofErr w:type="spellStart"/>
      <w:r w:rsidR="008B15EB" w:rsidRPr="00483B28">
        <w:rPr>
          <w:rFonts w:ascii="Cambria" w:hAnsi="Cambria"/>
          <w:color w:val="000000"/>
        </w:rPr>
        <w:t>dzizji</w:t>
      </w:r>
      <w:proofErr w:type="spellEnd"/>
      <w:r w:rsidR="008B15EB" w:rsidRPr="00483B28">
        <w:rPr>
          <w:rFonts w:ascii="Cambria" w:hAnsi="Cambria"/>
          <w:color w:val="000000"/>
        </w:rPr>
        <w:t>, nałożono ją również na mnichów</w:t>
      </w:r>
      <w:r w:rsidR="00EE4E31" w:rsidRPr="00483B28">
        <w:rPr>
          <w:rFonts w:ascii="Cambria" w:hAnsi="Cambria"/>
          <w:color w:val="000000"/>
        </w:rPr>
        <w:t xml:space="preserve"> (pierwsze przesłanki o takim obciążeniu mnichów pojawiają się już za </w:t>
      </w:r>
      <w:proofErr w:type="spellStart"/>
      <w:r w:rsidR="00EE4E31" w:rsidRPr="00483B28">
        <w:rPr>
          <w:rFonts w:ascii="Cambria" w:hAnsi="Cambria"/>
          <w:color w:val="000000"/>
        </w:rPr>
        <w:t>Yazida</w:t>
      </w:r>
      <w:proofErr w:type="spellEnd"/>
      <w:r w:rsidR="00EE4E31" w:rsidRPr="00483B28">
        <w:rPr>
          <w:rFonts w:ascii="Cambria" w:hAnsi="Cambria"/>
          <w:color w:val="000000"/>
        </w:rPr>
        <w:t xml:space="preserve"> I w 679)</w:t>
      </w:r>
      <w:r w:rsidR="003B7A31" w:rsidRPr="00483B28">
        <w:rPr>
          <w:rFonts w:ascii="Cambria" w:hAnsi="Cambria"/>
          <w:color w:val="000000"/>
        </w:rPr>
        <w:t>.</w:t>
      </w:r>
      <w:r w:rsidR="009F4985" w:rsidRPr="00483B28">
        <w:rPr>
          <w:rFonts w:ascii="Cambria" w:hAnsi="Cambria"/>
          <w:color w:val="000000"/>
        </w:rPr>
        <w:t xml:space="preserve"> </w:t>
      </w:r>
      <w:proofErr w:type="spellStart"/>
      <w:r w:rsidR="009F4985" w:rsidRPr="00483B28">
        <w:rPr>
          <w:rFonts w:ascii="Cambria" w:hAnsi="Cambria"/>
          <w:color w:val="000000"/>
        </w:rPr>
        <w:t>Pagarchowie</w:t>
      </w:r>
      <w:proofErr w:type="spellEnd"/>
      <w:r w:rsidR="009F4985" w:rsidRPr="00483B28">
        <w:rPr>
          <w:rFonts w:ascii="Cambria" w:hAnsi="Cambria"/>
          <w:color w:val="000000"/>
        </w:rPr>
        <w:t xml:space="preserve"> również</w:t>
      </w:r>
      <w:r w:rsidR="00463708" w:rsidRPr="00483B28">
        <w:rPr>
          <w:rFonts w:ascii="Cambria" w:hAnsi="Cambria"/>
          <w:color w:val="000000"/>
        </w:rPr>
        <w:t xml:space="preserve"> tracą również swoje uprawnienia do sporządzania list podatkowych na rzecz centralnych urzędników powołanych przez </w:t>
      </w:r>
      <w:proofErr w:type="spellStart"/>
      <w:r w:rsidR="00463708" w:rsidRPr="00483B28">
        <w:rPr>
          <w:rFonts w:ascii="Cambria" w:hAnsi="Cambria"/>
          <w:color w:val="000000"/>
        </w:rPr>
        <w:t>Amila</w:t>
      </w:r>
      <w:proofErr w:type="spellEnd"/>
      <w:r w:rsidR="00463708" w:rsidRPr="00483B28">
        <w:rPr>
          <w:rFonts w:ascii="Cambria" w:hAnsi="Cambria"/>
          <w:color w:val="000000"/>
        </w:rPr>
        <w:t>.</w:t>
      </w:r>
      <w:r w:rsidR="00201481" w:rsidRPr="00483B28">
        <w:rPr>
          <w:rFonts w:ascii="Cambria" w:hAnsi="Cambria"/>
          <w:color w:val="000000"/>
        </w:rPr>
        <w:t xml:space="preserve"> Taki zwiększony ucisk fiskalny </w:t>
      </w:r>
      <w:r w:rsidR="00C83694" w:rsidRPr="00483B28">
        <w:rPr>
          <w:rFonts w:ascii="Cambria" w:hAnsi="Cambria"/>
          <w:color w:val="000000"/>
        </w:rPr>
        <w:t>doprowadził do kilku rebelii</w:t>
      </w:r>
      <w:r w:rsidR="00145B1F" w:rsidRPr="00483B28">
        <w:rPr>
          <w:rFonts w:ascii="Cambria" w:hAnsi="Cambria"/>
          <w:color w:val="000000"/>
        </w:rPr>
        <w:t xml:space="preserve">, </w:t>
      </w:r>
      <w:r w:rsidR="00D26101" w:rsidRPr="00483B28">
        <w:rPr>
          <w:rFonts w:ascii="Cambria" w:hAnsi="Cambria"/>
          <w:color w:val="000000"/>
        </w:rPr>
        <w:t>z czego ostatnia z nich w 832 została stłamszona przez samego kalifa al-</w:t>
      </w:r>
      <w:proofErr w:type="spellStart"/>
      <w:r w:rsidR="00D26101" w:rsidRPr="00483B28">
        <w:rPr>
          <w:rFonts w:ascii="Cambria" w:hAnsi="Cambria"/>
          <w:color w:val="000000"/>
        </w:rPr>
        <w:t>Ma’muna</w:t>
      </w:r>
      <w:proofErr w:type="spellEnd"/>
      <w:r w:rsidR="008F7D4A" w:rsidRPr="00483B28">
        <w:rPr>
          <w:rFonts w:ascii="Cambria" w:hAnsi="Cambria"/>
          <w:color w:val="000000"/>
        </w:rPr>
        <w:t>.</w:t>
      </w:r>
      <w:r w:rsidR="004241CD" w:rsidRPr="00483B28">
        <w:rPr>
          <w:rFonts w:ascii="Cambria" w:hAnsi="Cambria"/>
          <w:color w:val="000000"/>
        </w:rPr>
        <w:t xml:space="preserve"> Niewątpliwie upadek rewolty był olbrzymim ciosem dla społeczności</w:t>
      </w:r>
      <w:r w:rsidR="008F22E7" w:rsidRPr="00483B28">
        <w:rPr>
          <w:rFonts w:ascii="Cambria" w:hAnsi="Cambria"/>
          <w:color w:val="000000"/>
        </w:rPr>
        <w:t xml:space="preserve"> koptyjskiej</w:t>
      </w:r>
      <w:r w:rsidR="0022690F" w:rsidRPr="00483B28">
        <w:rPr>
          <w:rFonts w:ascii="Cambria" w:hAnsi="Cambria"/>
          <w:color w:val="000000"/>
        </w:rPr>
        <w:t>.</w:t>
      </w:r>
      <w:r w:rsidR="00B31CF2" w:rsidRPr="00483B28">
        <w:rPr>
          <w:rFonts w:ascii="Cambria" w:hAnsi="Cambria"/>
          <w:color w:val="000000"/>
        </w:rPr>
        <w:t xml:space="preserve"> Dokonuje się także kluczowa reforma, jaką jest podniesienie stawki podatku </w:t>
      </w:r>
      <w:r w:rsidR="00B31CF2" w:rsidRPr="00483B28">
        <w:rPr>
          <w:rFonts w:ascii="Cambria" w:hAnsi="Cambria"/>
          <w:color w:val="000000"/>
        </w:rPr>
        <w:lastRenderedPageBreak/>
        <w:t xml:space="preserve">gruntowego płaconego przez muzułman do poziomu </w:t>
      </w:r>
      <w:proofErr w:type="spellStart"/>
      <w:r w:rsidR="00B31CF2" w:rsidRPr="00483B28">
        <w:rPr>
          <w:rFonts w:ascii="Cambria" w:hAnsi="Cambria"/>
          <w:color w:val="000000"/>
        </w:rPr>
        <w:t>charadżu</w:t>
      </w:r>
      <w:proofErr w:type="spellEnd"/>
      <w:r w:rsidR="00B31CF2" w:rsidRPr="00483B28">
        <w:rPr>
          <w:rFonts w:ascii="Cambria" w:hAnsi="Cambria"/>
          <w:color w:val="000000"/>
        </w:rPr>
        <w:t xml:space="preserve"> – </w:t>
      </w:r>
      <w:r w:rsidR="007F4989" w:rsidRPr="00483B28">
        <w:rPr>
          <w:rFonts w:ascii="Cambria" w:hAnsi="Cambria"/>
          <w:color w:val="000000"/>
        </w:rPr>
        <w:t xml:space="preserve">akt który </w:t>
      </w:r>
      <w:proofErr w:type="spellStart"/>
      <w:r w:rsidR="007F4989" w:rsidRPr="00483B28">
        <w:rPr>
          <w:rFonts w:ascii="Cambria" w:hAnsi="Cambria"/>
          <w:color w:val="000000"/>
        </w:rPr>
        <w:t>zmiejszył</w:t>
      </w:r>
      <w:proofErr w:type="spellEnd"/>
      <w:r w:rsidR="007F4989" w:rsidRPr="00483B28">
        <w:rPr>
          <w:rFonts w:ascii="Cambria" w:hAnsi="Cambria"/>
          <w:color w:val="000000"/>
        </w:rPr>
        <w:t xml:space="preserve"> presję do konwersji</w:t>
      </w:r>
      <w:r w:rsidR="00C02123" w:rsidRPr="00483B28">
        <w:rPr>
          <w:rFonts w:ascii="Cambria" w:hAnsi="Cambria"/>
          <w:color w:val="000000"/>
        </w:rPr>
        <w:t>.</w:t>
      </w:r>
      <w:r w:rsidR="00694F7B" w:rsidRPr="00483B28">
        <w:rPr>
          <w:rFonts w:ascii="Cambria" w:hAnsi="Cambria"/>
          <w:color w:val="000000"/>
        </w:rPr>
        <w:t xml:space="preserve"> Powodem takiej decyzji może być próba maksymalizacji zysku</w:t>
      </w:r>
      <w:r w:rsidR="009B36A3" w:rsidRPr="00483B28">
        <w:rPr>
          <w:rFonts w:ascii="Cambria" w:hAnsi="Cambria"/>
          <w:color w:val="000000"/>
        </w:rPr>
        <w:t xml:space="preserve"> przez władz</w:t>
      </w:r>
      <w:r w:rsidR="00F25819" w:rsidRPr="00483B28">
        <w:rPr>
          <w:rFonts w:ascii="Cambria" w:hAnsi="Cambria"/>
          <w:color w:val="000000"/>
        </w:rPr>
        <w:t xml:space="preserve">e, im więcej </w:t>
      </w:r>
      <w:proofErr w:type="spellStart"/>
      <w:r w:rsidR="00F25819" w:rsidRPr="00483B28">
        <w:rPr>
          <w:rFonts w:ascii="Cambria" w:hAnsi="Cambria"/>
          <w:color w:val="000000"/>
        </w:rPr>
        <w:t>koptów</w:t>
      </w:r>
      <w:proofErr w:type="spellEnd"/>
      <w:r w:rsidR="00F25819" w:rsidRPr="00483B28">
        <w:rPr>
          <w:rFonts w:ascii="Cambria" w:hAnsi="Cambria"/>
          <w:color w:val="000000"/>
        </w:rPr>
        <w:t xml:space="preserve">, tym więcej płaconej </w:t>
      </w:r>
      <w:proofErr w:type="spellStart"/>
      <w:r w:rsidR="00F25819" w:rsidRPr="00483B28">
        <w:rPr>
          <w:rFonts w:ascii="Cambria" w:hAnsi="Cambria"/>
          <w:color w:val="000000"/>
        </w:rPr>
        <w:t>dżizji</w:t>
      </w:r>
      <w:proofErr w:type="spellEnd"/>
      <w:r w:rsidR="00F25819" w:rsidRPr="00483B28">
        <w:rPr>
          <w:rFonts w:ascii="Cambria" w:hAnsi="Cambria"/>
          <w:color w:val="000000"/>
        </w:rPr>
        <w:t xml:space="preserve"> – która była poważnym źródłem zysku, oczywiście samo podniesienie podatku również wiązało się ze wzrostem przychodów.</w:t>
      </w:r>
    </w:p>
    <w:p w14:paraId="0B9878A5" w14:textId="0F060FFC" w:rsidR="004F29B3" w:rsidRPr="00483B28" w:rsidRDefault="004C4FD2" w:rsidP="00DF503A">
      <w:pPr>
        <w:spacing w:line="360" w:lineRule="auto"/>
        <w:rPr>
          <w:rFonts w:ascii="Cambria" w:hAnsi="Cambria"/>
          <w:noProof/>
        </w:rPr>
      </w:pPr>
      <w:r w:rsidRPr="00483B28">
        <w:rPr>
          <w:rFonts w:ascii="Cambria" w:hAnsi="Cambria"/>
        </w:rPr>
        <w:t>Potencjaln</w:t>
      </w:r>
      <w:r w:rsidR="001D3459" w:rsidRPr="00483B28">
        <w:rPr>
          <w:rFonts w:ascii="Cambria" w:hAnsi="Cambria"/>
        </w:rPr>
        <w:t>ym polem do dalszych maksymalizacji</w:t>
      </w:r>
      <w:r w:rsidR="003B0115" w:rsidRPr="00483B28">
        <w:rPr>
          <w:rFonts w:ascii="Cambria" w:hAnsi="Cambria"/>
        </w:rPr>
        <w:t xml:space="preserve"> zysk</w:t>
      </w:r>
      <w:r w:rsidR="00DC56DD" w:rsidRPr="00483B28">
        <w:rPr>
          <w:rFonts w:ascii="Cambria" w:hAnsi="Cambria"/>
        </w:rPr>
        <w:t xml:space="preserve">ów </w:t>
      </w:r>
      <w:r w:rsidR="000655C5" w:rsidRPr="00483B28">
        <w:rPr>
          <w:rFonts w:ascii="Cambria" w:hAnsi="Cambria"/>
        </w:rPr>
        <w:t>Egiptu</w:t>
      </w:r>
      <w:r w:rsidR="000655C5" w:rsidRPr="00483B28">
        <w:rPr>
          <w:rFonts w:ascii="Cambria" w:hAnsi="Cambria"/>
          <w:color w:val="000000"/>
        </w:rPr>
        <w:t xml:space="preserve"> </w:t>
      </w:r>
      <w:r w:rsidR="003213DC" w:rsidRPr="00483B28">
        <w:rPr>
          <w:rFonts w:ascii="Cambria" w:hAnsi="Cambria"/>
          <w:color w:val="000000"/>
        </w:rPr>
        <w:t>dostrzeganym przez arabów były wielkie areały ziemi nadającej się do rolnictwa, jednak nie</w:t>
      </w:r>
      <w:r w:rsidR="0040379B" w:rsidRPr="00483B28">
        <w:rPr>
          <w:rFonts w:ascii="Cambria" w:hAnsi="Cambria"/>
          <w:color w:val="000000"/>
        </w:rPr>
        <w:t xml:space="preserve"> kultywowane</w:t>
      </w:r>
      <w:r w:rsidR="000C772A" w:rsidRPr="00483B28">
        <w:rPr>
          <w:rFonts w:ascii="Cambria" w:hAnsi="Cambria"/>
          <w:color w:val="000000"/>
        </w:rPr>
        <w:t>j – było to od jednej trzeciej nawet to poło</w:t>
      </w:r>
      <w:r w:rsidR="00B44A97" w:rsidRPr="00483B28">
        <w:rPr>
          <w:rFonts w:ascii="Cambria" w:hAnsi="Cambria"/>
          <w:color w:val="000000"/>
        </w:rPr>
        <w:t>wy.</w:t>
      </w:r>
      <w:r w:rsidR="0032072D" w:rsidRPr="00483B28">
        <w:rPr>
          <w:rFonts w:ascii="Cambria" w:hAnsi="Cambria"/>
          <w:color w:val="000000"/>
        </w:rPr>
        <w:t xml:space="preserve"> W</w:t>
      </w:r>
      <w:r w:rsidR="00875892" w:rsidRPr="00483B28">
        <w:rPr>
          <w:rFonts w:ascii="Cambria" w:hAnsi="Cambria"/>
          <w:color w:val="000000"/>
        </w:rPr>
        <w:t xml:space="preserve"> wieku IX spróbowano to rozwiązać poprzez wprowadzenie </w:t>
      </w:r>
      <w:proofErr w:type="spellStart"/>
      <w:r w:rsidR="00875892" w:rsidRPr="00483B28">
        <w:rPr>
          <w:rFonts w:ascii="Cambria" w:hAnsi="Cambria"/>
          <w:color w:val="000000"/>
        </w:rPr>
        <w:t>qabala</w:t>
      </w:r>
      <w:proofErr w:type="spellEnd"/>
      <w:r w:rsidR="00875892" w:rsidRPr="00483B28">
        <w:rPr>
          <w:rFonts w:ascii="Cambria" w:hAnsi="Cambria"/>
          <w:color w:val="000000"/>
        </w:rPr>
        <w:t xml:space="preserve"> (wykupowanie)</w:t>
      </w:r>
      <w:r w:rsidR="00084FF4" w:rsidRPr="00483B28">
        <w:rPr>
          <w:rFonts w:ascii="Cambria" w:hAnsi="Cambria"/>
          <w:color w:val="000000"/>
        </w:rPr>
        <w:t xml:space="preserve">. </w:t>
      </w:r>
      <w:proofErr w:type="spellStart"/>
      <w:r w:rsidR="00600D04" w:rsidRPr="00483B28">
        <w:rPr>
          <w:rFonts w:ascii="Cambria" w:hAnsi="Cambria"/>
          <w:color w:val="000000"/>
        </w:rPr>
        <w:t>Mutwabbil</w:t>
      </w:r>
      <w:proofErr w:type="spellEnd"/>
      <w:r w:rsidR="00600D04" w:rsidRPr="00483B28">
        <w:rPr>
          <w:rFonts w:ascii="Cambria" w:hAnsi="Cambria"/>
          <w:color w:val="000000"/>
        </w:rPr>
        <w:t xml:space="preserve"> (kontraktor) zawierał umowę z </w:t>
      </w:r>
      <w:proofErr w:type="spellStart"/>
      <w:r w:rsidR="00600D04" w:rsidRPr="00483B28">
        <w:rPr>
          <w:rFonts w:ascii="Cambria" w:hAnsi="Cambria"/>
          <w:color w:val="000000"/>
        </w:rPr>
        <w:t>amilem</w:t>
      </w:r>
      <w:proofErr w:type="spellEnd"/>
      <w:r w:rsidR="00600D04" w:rsidRPr="00483B28">
        <w:rPr>
          <w:rFonts w:ascii="Cambria" w:hAnsi="Cambria"/>
          <w:color w:val="000000"/>
        </w:rPr>
        <w:t xml:space="preserve"> dzięki której za obietnice oddania części potencjalnych podatków dostawał z zarząd niekultywowany fragment ziemi.</w:t>
      </w:r>
      <w:r w:rsidR="00524B05" w:rsidRPr="00483B28">
        <w:rPr>
          <w:rFonts w:ascii="Cambria" w:hAnsi="Cambria"/>
          <w:color w:val="000000"/>
        </w:rPr>
        <w:t xml:space="preserve"> </w:t>
      </w:r>
      <w:r w:rsidR="00D82DAA" w:rsidRPr="00483B28">
        <w:rPr>
          <w:rFonts w:ascii="Cambria" w:hAnsi="Cambria"/>
          <w:color w:val="000000"/>
        </w:rPr>
        <w:t xml:space="preserve"> </w:t>
      </w:r>
      <w:r w:rsidR="00524B05" w:rsidRPr="00483B28">
        <w:rPr>
          <w:rFonts w:ascii="Cambria" w:hAnsi="Cambria"/>
          <w:color w:val="000000"/>
        </w:rPr>
        <w:t xml:space="preserve">Zawierane były one na </w:t>
      </w:r>
      <w:proofErr w:type="spellStart"/>
      <w:r w:rsidR="00524B05" w:rsidRPr="00483B28">
        <w:rPr>
          <w:rFonts w:ascii="Cambria" w:hAnsi="Cambria"/>
          <w:color w:val="000000"/>
        </w:rPr>
        <w:t>korzystych</w:t>
      </w:r>
      <w:proofErr w:type="spellEnd"/>
      <w:r w:rsidR="00524B05" w:rsidRPr="00483B28">
        <w:rPr>
          <w:rFonts w:ascii="Cambria" w:hAnsi="Cambria"/>
          <w:color w:val="000000"/>
        </w:rPr>
        <w:t xml:space="preserve"> dla </w:t>
      </w:r>
      <w:proofErr w:type="spellStart"/>
      <w:r w:rsidR="00524B05" w:rsidRPr="00483B28">
        <w:rPr>
          <w:rFonts w:ascii="Cambria" w:hAnsi="Cambria"/>
          <w:color w:val="000000"/>
        </w:rPr>
        <w:t>Mutwabbil</w:t>
      </w:r>
      <w:proofErr w:type="spellEnd"/>
      <w:r w:rsidR="00524B05" w:rsidRPr="00483B28">
        <w:rPr>
          <w:rFonts w:ascii="Cambria" w:hAnsi="Cambria"/>
          <w:color w:val="000000"/>
        </w:rPr>
        <w:t xml:space="preserve"> warunkach, przez co mogli oni oferować atrakcyjne podatki dla chłopów.</w:t>
      </w:r>
      <w:r w:rsidR="00D00B8A" w:rsidRPr="00483B28">
        <w:rPr>
          <w:rFonts w:ascii="Cambria" w:hAnsi="Cambria"/>
          <w:color w:val="000000"/>
        </w:rPr>
        <w:t xml:space="preserve"> Rozwiązało to poprzednie problemy z wolno migrującymi chłopami.</w:t>
      </w:r>
      <w:r w:rsidR="00F9257C" w:rsidRPr="00483B28">
        <w:rPr>
          <w:rFonts w:ascii="Cambria" w:hAnsi="Cambria"/>
          <w:color w:val="000000"/>
        </w:rPr>
        <w:t xml:space="preserve"> Obecna była także praktyka zawierania takich umów przez indywidualnych chłopów</w:t>
      </w:r>
      <w:r w:rsidR="00B5450A" w:rsidRPr="00483B28">
        <w:rPr>
          <w:rFonts w:ascii="Cambria" w:hAnsi="Cambria"/>
          <w:color w:val="000000"/>
        </w:rPr>
        <w:t>.</w:t>
      </w:r>
      <w:r w:rsidR="0012143A" w:rsidRPr="00483B28">
        <w:rPr>
          <w:rFonts w:ascii="Cambria" w:hAnsi="Cambria"/>
          <w:color w:val="000000"/>
        </w:rPr>
        <w:t xml:space="preserve"> Okres ten był momentem stabilizacji, co odzwierciedla rosnąca populacj</w:t>
      </w:r>
      <w:r w:rsidR="00A34960" w:rsidRPr="00483B28">
        <w:rPr>
          <w:rFonts w:ascii="Cambria" w:hAnsi="Cambria"/>
          <w:color w:val="000000"/>
        </w:rPr>
        <w:t>a.</w:t>
      </w:r>
      <w:r w:rsidR="00F64109" w:rsidRPr="00483B28">
        <w:rPr>
          <w:rFonts w:ascii="Cambria" w:hAnsi="Cambria"/>
          <w:color w:val="000000"/>
        </w:rPr>
        <w:t xml:space="preserve"> </w:t>
      </w:r>
      <w:r w:rsidR="00542120" w:rsidRPr="00483B28">
        <w:rPr>
          <w:rFonts w:ascii="Cambria" w:hAnsi="Cambria"/>
          <w:color w:val="000000"/>
        </w:rPr>
        <w:t>Stabilizacja</w:t>
      </w:r>
      <w:r w:rsidR="00F64109" w:rsidRPr="00483B28">
        <w:rPr>
          <w:rFonts w:ascii="Cambria" w:hAnsi="Cambria"/>
          <w:color w:val="000000"/>
        </w:rPr>
        <w:t xml:space="preserve"> ta skończy się za kalifa </w:t>
      </w:r>
      <w:r w:rsidR="00F64109" w:rsidRPr="00483B28">
        <w:rPr>
          <w:rFonts w:ascii="Cambria" w:hAnsi="Cambria"/>
          <w:noProof/>
        </w:rPr>
        <w:t>al-Mustansir Billaha,</w:t>
      </w:r>
      <w:r w:rsidR="00DB0AFE" w:rsidRPr="00483B28">
        <w:rPr>
          <w:rFonts w:ascii="Cambria" w:hAnsi="Cambria"/>
          <w:noProof/>
        </w:rPr>
        <w:t xml:space="preserve"> w latach 1066-1073</w:t>
      </w:r>
      <w:r w:rsidR="00F64109" w:rsidRPr="00483B28">
        <w:rPr>
          <w:rFonts w:ascii="Cambria" w:hAnsi="Cambria"/>
          <w:noProof/>
        </w:rPr>
        <w:t xml:space="preserve"> </w:t>
      </w:r>
      <w:r w:rsidR="00DB0AFE" w:rsidRPr="00483B28">
        <w:rPr>
          <w:rFonts w:ascii="Cambria" w:hAnsi="Cambria"/>
          <w:noProof/>
        </w:rPr>
        <w:t>przez</w:t>
      </w:r>
      <w:r w:rsidR="00F64109" w:rsidRPr="00483B28">
        <w:rPr>
          <w:rFonts w:ascii="Cambria" w:hAnsi="Cambria"/>
          <w:noProof/>
        </w:rPr>
        <w:t xml:space="preserve"> </w:t>
      </w:r>
      <w:r w:rsidR="00DB0AFE" w:rsidRPr="00483B28">
        <w:rPr>
          <w:rFonts w:ascii="Cambria" w:hAnsi="Cambria"/>
          <w:noProof/>
        </w:rPr>
        <w:t xml:space="preserve">wybuch konfliktu wewnętrznego </w:t>
      </w:r>
      <w:r w:rsidR="00F64109" w:rsidRPr="00483B28">
        <w:rPr>
          <w:rFonts w:ascii="Cambria" w:hAnsi="Cambria"/>
          <w:noProof/>
        </w:rPr>
        <w:t>i wynikającej z niego zarazy.</w:t>
      </w:r>
      <w:r w:rsidR="00BE700B" w:rsidRPr="00483B28">
        <w:rPr>
          <w:rFonts w:ascii="Cambria" w:hAnsi="Cambria"/>
          <w:noProof/>
        </w:rPr>
        <w:t xml:space="preserve"> Dotknęła głównie miasta, głównie Fustat i Al-Qahirę.</w:t>
      </w:r>
      <w:r w:rsidR="003C7BCD" w:rsidRPr="00483B28">
        <w:rPr>
          <w:rFonts w:ascii="Cambria" w:hAnsi="Cambria"/>
          <w:noProof/>
        </w:rPr>
        <w:t xml:space="preserve"> Doprowadziła również do wyludnienia wielu terenów wiesjkich – skutki które będą widoczne aż do wieku XII.</w:t>
      </w:r>
      <w:r w:rsidR="004F28F6" w:rsidRPr="00483B28">
        <w:rPr>
          <w:rFonts w:ascii="Cambria" w:hAnsi="Cambria"/>
          <w:noProof/>
        </w:rPr>
        <w:t xml:space="preserve"> </w:t>
      </w:r>
      <w:r w:rsidR="008025A0" w:rsidRPr="00483B28">
        <w:rPr>
          <w:rFonts w:ascii="Cambria" w:hAnsi="Cambria"/>
          <w:noProof/>
        </w:rPr>
        <w:t xml:space="preserve">A za tym idąca kolejna </w:t>
      </w:r>
      <w:r w:rsidR="002908C9" w:rsidRPr="00483B28">
        <w:rPr>
          <w:rFonts w:ascii="Cambria" w:hAnsi="Cambria"/>
          <w:noProof/>
        </w:rPr>
        <w:t xml:space="preserve">zmiana systemowa. </w:t>
      </w:r>
      <w:r w:rsidR="0049430F" w:rsidRPr="00483B28">
        <w:rPr>
          <w:rFonts w:ascii="Cambria" w:hAnsi="Cambria"/>
          <w:noProof/>
        </w:rPr>
        <w:t xml:space="preserve">Nowy wezyrzy </w:t>
      </w:r>
      <w:r w:rsidR="000322D8" w:rsidRPr="00483B28">
        <w:rPr>
          <w:rFonts w:ascii="Cambria" w:hAnsi="Cambria"/>
          <w:noProof/>
        </w:rPr>
        <w:t xml:space="preserve">zaczeli rozdawać ziemie </w:t>
      </w:r>
      <w:r w:rsidR="0027774B" w:rsidRPr="00483B28">
        <w:rPr>
          <w:rFonts w:ascii="Cambria" w:hAnsi="Cambria"/>
          <w:noProof/>
        </w:rPr>
        <w:t xml:space="preserve">jako </w:t>
      </w:r>
      <w:r w:rsidR="000322D8" w:rsidRPr="00483B28">
        <w:rPr>
          <w:rFonts w:ascii="Cambria" w:hAnsi="Cambria"/>
          <w:noProof/>
        </w:rPr>
        <w:t>iqta (lenn</w:t>
      </w:r>
      <w:r w:rsidR="00F311C3" w:rsidRPr="00483B28">
        <w:rPr>
          <w:rFonts w:ascii="Cambria" w:hAnsi="Cambria"/>
          <w:noProof/>
        </w:rPr>
        <w:t>o), podobnie jak wcześniejsze qabala umowy były zawierane na korzystnych warunkach</w:t>
      </w:r>
      <w:r w:rsidR="000322D8" w:rsidRPr="00483B28">
        <w:rPr>
          <w:rFonts w:ascii="Cambria" w:hAnsi="Cambria"/>
          <w:noProof/>
        </w:rPr>
        <w:t>.</w:t>
      </w:r>
      <w:r w:rsidR="00F635D9" w:rsidRPr="00483B28">
        <w:rPr>
          <w:rFonts w:ascii="Cambria" w:hAnsi="Cambria"/>
          <w:noProof/>
        </w:rPr>
        <w:t xml:space="preserve"> Była to próba ponownego zagospodarowan ziem wyludnionych w wynikiu wcześniej wpsomianych wydarzeń. Nie przyniosło to jednak oczekiwanych skutków. </w:t>
      </w:r>
      <w:r w:rsidR="00BA15AD" w:rsidRPr="00483B28">
        <w:rPr>
          <w:rFonts w:ascii="Cambria" w:hAnsi="Cambria"/>
          <w:noProof/>
        </w:rPr>
        <w:t>Ziemie te nie były zdolne do wypłacenia należytych podaktów, przez co w 1122 Wezyr al-Ma’mun musiał anulować pobór podaktów i przełożyć je na przyszloś</w:t>
      </w:r>
      <w:r w:rsidR="00B65F0C" w:rsidRPr="00483B28">
        <w:rPr>
          <w:rFonts w:ascii="Cambria" w:hAnsi="Cambria"/>
          <w:noProof/>
        </w:rPr>
        <w:t>ć. Takie podejście pozwoliło populaji Egiptu w miare spokojnie rosnąć aż do czasów czarnej śmierci.</w:t>
      </w:r>
    </w:p>
    <w:p w14:paraId="1089A018" w14:textId="4F134703" w:rsidR="00176AA1" w:rsidRPr="00483B28" w:rsidRDefault="00C37E9B" w:rsidP="00DF503A">
      <w:pPr>
        <w:spacing w:line="360" w:lineRule="auto"/>
        <w:rPr>
          <w:rFonts w:ascii="Cambria" w:hAnsi="Cambria"/>
          <w:noProof/>
        </w:rPr>
      </w:pPr>
      <w:r w:rsidRPr="00483B28">
        <w:rPr>
          <w:rFonts w:ascii="Cambria" w:hAnsi="Cambria"/>
          <w:noProof/>
        </w:rPr>
        <w:t>Znając</w:t>
      </w:r>
      <w:r w:rsidR="0069260D" w:rsidRPr="00483B28">
        <w:rPr>
          <w:rFonts w:ascii="Cambria" w:hAnsi="Cambria"/>
          <w:noProof/>
        </w:rPr>
        <w:t xml:space="preserve"> </w:t>
      </w:r>
      <w:r w:rsidR="00010594" w:rsidRPr="00483B28">
        <w:rPr>
          <w:rFonts w:ascii="Cambria" w:hAnsi="Cambria"/>
          <w:noProof/>
        </w:rPr>
        <w:t>warunki historyczne, możemy teraz pochylić się nad pytaniem co dokładnie spowodowało</w:t>
      </w:r>
      <w:r w:rsidR="00F3419A" w:rsidRPr="00483B28">
        <w:rPr>
          <w:rFonts w:ascii="Cambria" w:hAnsi="Cambria"/>
          <w:noProof/>
        </w:rPr>
        <w:t xml:space="preserve"> </w:t>
      </w:r>
      <w:r w:rsidR="005902A6">
        <w:rPr>
          <w:rFonts w:ascii="Cambria" w:hAnsi="Cambria"/>
          <w:noProof/>
        </w:rPr>
        <w:t xml:space="preserve">transformację </w:t>
      </w:r>
      <w:r w:rsidR="00F3419A" w:rsidRPr="00483B28">
        <w:rPr>
          <w:rFonts w:ascii="Cambria" w:hAnsi="Cambria"/>
          <w:noProof/>
        </w:rPr>
        <w:t>koptów z większości w mniejszość.</w:t>
      </w:r>
      <w:r w:rsidR="00C15FCD" w:rsidRPr="00483B28">
        <w:rPr>
          <w:rFonts w:ascii="Cambria" w:hAnsi="Cambria"/>
          <w:noProof/>
        </w:rPr>
        <w:t xml:space="preserve"> Ze 100% populacji w 641</w:t>
      </w:r>
      <w:r w:rsidR="00CE18D8" w:rsidRPr="00483B28">
        <w:rPr>
          <w:rFonts w:ascii="Cambria" w:hAnsi="Cambria"/>
          <w:noProof/>
        </w:rPr>
        <w:t xml:space="preserve">r. </w:t>
      </w:r>
      <w:r w:rsidR="00BB6CB5" w:rsidRPr="00483B28">
        <w:rPr>
          <w:rFonts w:ascii="Cambria" w:hAnsi="Cambria"/>
          <w:noProof/>
        </w:rPr>
        <w:t xml:space="preserve">stali się </w:t>
      </w:r>
      <w:r w:rsidR="00CE18D8" w:rsidRPr="00483B28">
        <w:rPr>
          <w:rFonts w:ascii="Cambria" w:hAnsi="Cambria"/>
          <w:noProof/>
        </w:rPr>
        <w:t>16% w 1200r</w:t>
      </w:r>
      <w:r w:rsidR="00CE0552" w:rsidRPr="00483B28">
        <w:rPr>
          <w:rFonts w:ascii="Cambria" w:hAnsi="Cambria"/>
          <w:noProof/>
        </w:rPr>
        <w:t>.</w:t>
      </w:r>
      <w:r w:rsidR="009A5EDA">
        <w:rPr>
          <w:rFonts w:ascii="Cambria" w:hAnsi="Cambria"/>
          <w:noProof/>
        </w:rPr>
        <w:t xml:space="preserve"> (Saleh 2018)</w:t>
      </w:r>
      <w:r w:rsidR="00CE0552" w:rsidRPr="00483B28">
        <w:rPr>
          <w:rFonts w:ascii="Cambria" w:hAnsi="Cambria"/>
          <w:noProof/>
        </w:rPr>
        <w:t xml:space="preserve"> </w:t>
      </w:r>
      <w:r w:rsidR="00DA2A3D" w:rsidRPr="00483B28">
        <w:rPr>
          <w:rFonts w:ascii="Cambria" w:hAnsi="Cambria"/>
          <w:noProof/>
        </w:rPr>
        <w:t xml:space="preserve">Pomiędzy tymi datami doszło do największej liczby konwersji. </w:t>
      </w:r>
      <w:r w:rsidR="00CE0552" w:rsidRPr="00483B28">
        <w:rPr>
          <w:rFonts w:ascii="Cambria" w:hAnsi="Cambria"/>
          <w:noProof/>
        </w:rPr>
        <w:t>Największy wpływ należy przypisać tutaj presjom fiskalnym na konwersję</w:t>
      </w:r>
      <w:r w:rsidR="009F0903" w:rsidRPr="00483B28">
        <w:rPr>
          <w:rFonts w:ascii="Cambria" w:hAnsi="Cambria"/>
          <w:noProof/>
        </w:rPr>
        <w:t>, czyli charadż oraz</w:t>
      </w:r>
      <w:r w:rsidR="00C72E96" w:rsidRPr="00483B28">
        <w:rPr>
          <w:rFonts w:ascii="Cambria" w:hAnsi="Cambria"/>
          <w:noProof/>
        </w:rPr>
        <w:t xml:space="preserve"> dzizja</w:t>
      </w:r>
      <w:r w:rsidR="00A80395" w:rsidRPr="00483B28">
        <w:rPr>
          <w:rFonts w:ascii="Cambria" w:hAnsi="Cambria"/>
          <w:noProof/>
        </w:rPr>
        <w:t xml:space="preserve">. </w:t>
      </w:r>
      <w:r w:rsidR="000C550F" w:rsidRPr="00483B28">
        <w:rPr>
          <w:rFonts w:ascii="Cambria" w:hAnsi="Cambria"/>
          <w:noProof/>
        </w:rPr>
        <w:t xml:space="preserve">Charadż początkowo o wiele bardziej dotykał koptów, natomiast od 750 </w:t>
      </w:r>
      <w:r w:rsidR="00AC52AE" w:rsidRPr="00483B28">
        <w:rPr>
          <w:rFonts w:ascii="Cambria" w:hAnsi="Cambria"/>
          <w:noProof/>
        </w:rPr>
        <w:t xml:space="preserve">jego poziom został wyrównany. </w:t>
      </w:r>
      <w:r w:rsidR="00596F40" w:rsidRPr="00483B28">
        <w:rPr>
          <w:rFonts w:ascii="Cambria" w:hAnsi="Cambria"/>
          <w:noProof/>
        </w:rPr>
        <w:t xml:space="preserve">Zrównanie charadżu </w:t>
      </w:r>
      <w:r w:rsidR="00596F40" w:rsidRPr="00483B28">
        <w:rPr>
          <w:rFonts w:ascii="Cambria" w:hAnsi="Cambria"/>
          <w:noProof/>
        </w:rPr>
        <w:lastRenderedPageBreak/>
        <w:t>zmiejszyło obciążenia fisklane monofizytów, przez co korzyśći z</w:t>
      </w:r>
      <w:r w:rsidR="00F7051E" w:rsidRPr="00483B28">
        <w:rPr>
          <w:rFonts w:ascii="Cambria" w:hAnsi="Cambria"/>
          <w:noProof/>
        </w:rPr>
        <w:t xml:space="preserve"> przejścia na</w:t>
      </w:r>
      <w:r w:rsidR="00596F40" w:rsidRPr="00483B28">
        <w:rPr>
          <w:rFonts w:ascii="Cambria" w:hAnsi="Cambria"/>
          <w:noProof/>
        </w:rPr>
        <w:t xml:space="preserve"> Islam malały. </w:t>
      </w:r>
      <w:r w:rsidR="000C550F" w:rsidRPr="00483B28">
        <w:rPr>
          <w:rFonts w:ascii="Cambria" w:hAnsi="Cambria"/>
          <w:noProof/>
        </w:rPr>
        <w:t xml:space="preserve">Dżizja </w:t>
      </w:r>
      <w:r w:rsidR="00A80395" w:rsidRPr="00483B28">
        <w:rPr>
          <w:rFonts w:ascii="Cambria" w:hAnsi="Cambria"/>
          <w:noProof/>
        </w:rPr>
        <w:t xml:space="preserve">choć miała </w:t>
      </w:r>
      <w:r w:rsidR="008D49E0" w:rsidRPr="00483B28">
        <w:rPr>
          <w:rFonts w:ascii="Cambria" w:hAnsi="Cambria"/>
          <w:noProof/>
        </w:rPr>
        <w:t>progi podatkowe (</w:t>
      </w:r>
      <w:r w:rsidR="00675184" w:rsidRPr="00483B28">
        <w:rPr>
          <w:rFonts w:ascii="Cambria" w:hAnsi="Cambria"/>
          <w:noProof/>
        </w:rPr>
        <w:t>w zależności od</w:t>
      </w:r>
      <w:r w:rsidR="00D8748F" w:rsidRPr="00483B28">
        <w:rPr>
          <w:rFonts w:ascii="Cambria" w:hAnsi="Cambria"/>
          <w:noProof/>
        </w:rPr>
        <w:t xml:space="preserve"> mojątku wynosiłą jeden, dwa, lub cztery denary), to w praktyce była podatkiem regrewsywnym</w:t>
      </w:r>
      <w:r w:rsidR="00923EEE" w:rsidRPr="00483B28">
        <w:rPr>
          <w:rFonts w:ascii="Cambria" w:hAnsi="Cambria"/>
          <w:noProof/>
        </w:rPr>
        <w:t>, który najbardziej dotkliwy był dla najbiedniejszych</w:t>
      </w:r>
      <w:r w:rsidR="00C1259B" w:rsidRPr="00483B28">
        <w:rPr>
          <w:rFonts w:ascii="Cambria" w:hAnsi="Cambria"/>
          <w:noProof/>
        </w:rPr>
        <w:t>. Przez to oni</w:t>
      </w:r>
      <w:r w:rsidR="00646DF0" w:rsidRPr="00483B28">
        <w:rPr>
          <w:rFonts w:ascii="Cambria" w:hAnsi="Cambria"/>
          <w:noProof/>
        </w:rPr>
        <w:t xml:space="preserve"> najczęściej zmieniali wiarę</w:t>
      </w:r>
      <w:r w:rsidR="00C1259B" w:rsidRPr="00483B28">
        <w:rPr>
          <w:rFonts w:ascii="Cambria" w:hAnsi="Cambria"/>
          <w:noProof/>
        </w:rPr>
        <w:t>.</w:t>
      </w:r>
      <w:r w:rsidR="002C45BF" w:rsidRPr="00483B28">
        <w:rPr>
          <w:rFonts w:ascii="Cambria" w:hAnsi="Cambria"/>
          <w:noProof/>
        </w:rPr>
        <w:t xml:space="preserve"> </w:t>
      </w:r>
      <w:r w:rsidR="004E5AE2" w:rsidRPr="00483B28">
        <w:rPr>
          <w:rFonts w:ascii="Cambria" w:hAnsi="Cambria"/>
          <w:noProof/>
        </w:rPr>
        <w:t xml:space="preserve">Ci, których było stać na opłacanie wyższych świadczeń, musieli się specjalizować. </w:t>
      </w:r>
      <w:r w:rsidR="007F5E13" w:rsidRPr="00483B28">
        <w:rPr>
          <w:rFonts w:ascii="Cambria" w:hAnsi="Cambria"/>
          <w:noProof/>
        </w:rPr>
        <w:t>Od</w:t>
      </w:r>
      <w:r w:rsidR="00C14A19" w:rsidRPr="00483B28">
        <w:rPr>
          <w:rFonts w:ascii="Cambria" w:hAnsi="Cambria"/>
          <w:noProof/>
        </w:rPr>
        <w:t xml:space="preserve"> około 969 obserwowalna jest nadreprezentacja jako biurokratów </w:t>
      </w:r>
      <w:r w:rsidR="007F5E13" w:rsidRPr="00483B28">
        <w:rPr>
          <w:rFonts w:ascii="Cambria" w:hAnsi="Cambria"/>
          <w:noProof/>
        </w:rPr>
        <w:t xml:space="preserve">niskiego szczebla </w:t>
      </w:r>
      <w:r w:rsidR="00C14A19" w:rsidRPr="00483B28">
        <w:rPr>
          <w:rFonts w:ascii="Cambria" w:hAnsi="Cambria"/>
          <w:noProof/>
        </w:rPr>
        <w:t>i rzemieślników</w:t>
      </w:r>
      <w:r w:rsidR="007F5E13" w:rsidRPr="00483B28">
        <w:rPr>
          <w:rFonts w:ascii="Cambria" w:hAnsi="Cambria"/>
          <w:noProof/>
        </w:rPr>
        <w:t>.</w:t>
      </w:r>
      <w:r w:rsidR="00D400B0" w:rsidRPr="00483B28">
        <w:rPr>
          <w:rFonts w:ascii="Cambria" w:hAnsi="Cambria"/>
          <w:noProof/>
        </w:rPr>
        <w:t xml:space="preserve"> Stają się oni mniejszością, ale też </w:t>
      </w:r>
      <w:r w:rsidR="00F34791" w:rsidRPr="00483B28">
        <w:rPr>
          <w:rFonts w:ascii="Cambria" w:hAnsi="Cambria"/>
          <w:noProof/>
        </w:rPr>
        <w:t xml:space="preserve">swojego rodzaju </w:t>
      </w:r>
      <w:r w:rsidR="00D400B0" w:rsidRPr="00483B28">
        <w:rPr>
          <w:rFonts w:ascii="Cambria" w:hAnsi="Cambria"/>
          <w:noProof/>
        </w:rPr>
        <w:t>elitą – przeciętny Kopt był bogatszy niż przeciętny muzułamanin.</w:t>
      </w:r>
      <w:r w:rsidR="009762C8" w:rsidRPr="00483B28">
        <w:rPr>
          <w:rFonts w:ascii="Cambria" w:hAnsi="Cambria"/>
          <w:noProof/>
        </w:rPr>
        <w:t xml:space="preserve"> Dowodem jest fakt, że w regiony które obciążone były większymi podatkami w okresie panowania arabów w cenzusach z XIX wieku miały istotnie miejszą populację koptów</w:t>
      </w:r>
      <w:r w:rsidR="00C635BB" w:rsidRPr="00483B28">
        <w:rPr>
          <w:rFonts w:ascii="Cambria" w:hAnsi="Cambria"/>
          <w:noProof/>
        </w:rPr>
        <w:t>.</w:t>
      </w:r>
      <w:r w:rsidR="008812CE">
        <w:rPr>
          <w:rFonts w:ascii="Cambria" w:hAnsi="Cambria"/>
          <w:noProof/>
        </w:rPr>
        <w:t xml:space="preserve"> </w:t>
      </w:r>
      <w:r w:rsidR="00B23A35" w:rsidRPr="00483B28">
        <w:rPr>
          <w:rFonts w:ascii="Cambria" w:hAnsi="Cambria"/>
          <w:noProof/>
        </w:rPr>
        <w:t>Islam był religią atrakcyjną dla mas, jednak koptysjkie chrześcijaństwo również. W latach 451-641 byli prześladowani przez bizantyjczyków, i to właśnie masy wybrały odrzucenie chalcedonu.</w:t>
      </w:r>
      <w:r w:rsidR="00546144" w:rsidRPr="00483B28">
        <w:rPr>
          <w:rFonts w:ascii="Cambria" w:hAnsi="Cambria"/>
          <w:noProof/>
        </w:rPr>
        <w:t xml:space="preserve"> Również po represjach za kalifa Al-</w:t>
      </w:r>
      <w:r w:rsidR="00900A64" w:rsidRPr="00483B28">
        <w:rPr>
          <w:rFonts w:ascii="Cambria" w:hAnsi="Cambria"/>
          <w:noProof/>
        </w:rPr>
        <w:t>Hakima, kiedy pozowlono im odbudować kościoły, większość</w:t>
      </w:r>
      <w:r w:rsidR="00CF290B" w:rsidRPr="00483B28">
        <w:rPr>
          <w:rFonts w:ascii="Cambria" w:hAnsi="Cambria"/>
          <w:noProof/>
        </w:rPr>
        <w:t xml:space="preserve"> powróciła do chrześcijaństwa.</w:t>
      </w:r>
      <w:r w:rsidR="008E24BD" w:rsidRPr="00483B28">
        <w:rPr>
          <w:rFonts w:ascii="Cambria" w:hAnsi="Cambria"/>
          <w:noProof/>
        </w:rPr>
        <w:t xml:space="preserve"> Po piewrszej dużej fali konwersji bezpośrednio po podboju,</w:t>
      </w:r>
      <w:r w:rsidR="008016B1" w:rsidRPr="00483B28">
        <w:rPr>
          <w:rFonts w:ascii="Cambria" w:hAnsi="Cambria"/>
          <w:noProof/>
        </w:rPr>
        <w:t xml:space="preserve"> ich liczba</w:t>
      </w:r>
      <w:r w:rsidR="008A0916" w:rsidRPr="00483B28">
        <w:rPr>
          <w:rFonts w:ascii="Cambria" w:hAnsi="Cambria"/>
          <w:noProof/>
        </w:rPr>
        <w:t xml:space="preserve"> spadała bardzo</w:t>
      </w:r>
      <w:r w:rsidR="000C266B" w:rsidRPr="00483B28">
        <w:rPr>
          <w:rFonts w:ascii="Cambria" w:hAnsi="Cambria"/>
          <w:noProof/>
        </w:rPr>
        <w:t xml:space="preserve"> powoli i stabilnie aż do XIXw.</w:t>
      </w:r>
      <w:r w:rsidR="000F49CE" w:rsidRPr="00483B28">
        <w:rPr>
          <w:rFonts w:ascii="Cambria" w:hAnsi="Cambria"/>
          <w:noProof/>
        </w:rPr>
        <w:t xml:space="preserve"> </w:t>
      </w:r>
    </w:p>
    <w:p w14:paraId="602CCB93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33765F8B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20FBBBE9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53DC6986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427D214C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42174E1F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51D23304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6AA68AEE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5A21F989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301D6121" w14:textId="77777777" w:rsidR="00DF503A" w:rsidRDefault="00DF503A" w:rsidP="00DF503A">
      <w:pPr>
        <w:spacing w:line="360" w:lineRule="auto"/>
        <w:rPr>
          <w:rFonts w:ascii="Cambria" w:hAnsi="Cambria"/>
          <w:noProof/>
        </w:rPr>
      </w:pPr>
    </w:p>
    <w:p w14:paraId="55ED9AE5" w14:textId="13333FA5" w:rsidR="004F29B3" w:rsidRPr="00483B28" w:rsidRDefault="007F363E" w:rsidP="00DF503A">
      <w:pPr>
        <w:spacing w:line="360" w:lineRule="auto"/>
        <w:rPr>
          <w:rFonts w:ascii="Cambria" w:hAnsi="Cambria"/>
          <w:noProof/>
        </w:rPr>
      </w:pPr>
      <w:r w:rsidRPr="00483B28">
        <w:rPr>
          <w:rFonts w:ascii="Cambria" w:hAnsi="Cambria"/>
          <w:noProof/>
        </w:rPr>
        <w:t>Załącznik</w:t>
      </w:r>
      <w:r w:rsidR="004F29B3" w:rsidRPr="00483B28">
        <w:rPr>
          <w:rFonts w:ascii="Cambria" w:hAnsi="Cambria"/>
          <w:noProof/>
        </w:rPr>
        <w:t xml:space="preserve"> 1 – wykres </w:t>
      </w:r>
      <w:r w:rsidR="00C87F0D" w:rsidRPr="00483B28">
        <w:rPr>
          <w:rFonts w:ascii="Cambria" w:hAnsi="Cambria"/>
          <w:noProof/>
        </w:rPr>
        <w:t>zmian w populacji egiptu.</w:t>
      </w:r>
    </w:p>
    <w:p w14:paraId="2FEEFF25" w14:textId="58E5B16B" w:rsidR="008E3C54" w:rsidRPr="00483B28" w:rsidRDefault="004F29B3" w:rsidP="00DF503A">
      <w:pPr>
        <w:spacing w:line="360" w:lineRule="auto"/>
        <w:rPr>
          <w:rFonts w:ascii="Cambria" w:hAnsi="Cambria"/>
          <w:color w:val="000000"/>
        </w:rPr>
      </w:pPr>
      <w:r w:rsidRPr="00483B28">
        <w:rPr>
          <w:rFonts w:ascii="Cambria" w:hAnsi="Cambria"/>
          <w:noProof/>
          <w:color w:val="000000"/>
        </w:rPr>
        <w:lastRenderedPageBreak/>
        <w:drawing>
          <wp:inline distT="0" distB="0" distL="0" distR="0" wp14:anchorId="31C628C0" wp14:editId="11DDC5F4">
            <wp:extent cx="5731510" cy="4045585"/>
            <wp:effectExtent l="0" t="0" r="0" b="0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7F92" w14:textId="6C8F9BF1" w:rsidR="008E3C54" w:rsidRPr="00483B28" w:rsidRDefault="008E3C54" w:rsidP="00DF503A">
      <w:pPr>
        <w:spacing w:line="360" w:lineRule="auto"/>
        <w:rPr>
          <w:rFonts w:ascii="Cambria" w:hAnsi="Cambria"/>
          <w:color w:val="000000"/>
        </w:rPr>
      </w:pPr>
    </w:p>
    <w:p w14:paraId="3E52716F" w14:textId="77777777" w:rsidR="0095551E" w:rsidRPr="00483B28" w:rsidRDefault="0095551E" w:rsidP="00DF503A">
      <w:pPr>
        <w:spacing w:line="360" w:lineRule="auto"/>
        <w:rPr>
          <w:rFonts w:ascii="Cambria" w:hAnsi="Cambria"/>
          <w:color w:val="000000"/>
          <w:lang w:val="en-US"/>
        </w:rPr>
      </w:pPr>
      <w:proofErr w:type="spellStart"/>
      <w:r w:rsidRPr="00483B28">
        <w:rPr>
          <w:rFonts w:ascii="Cambria" w:hAnsi="Cambria"/>
          <w:color w:val="000000"/>
          <w:lang w:val="en-US"/>
        </w:rPr>
        <w:t>Bibliografia</w:t>
      </w:r>
      <w:proofErr w:type="spellEnd"/>
      <w:r w:rsidRPr="00483B28">
        <w:rPr>
          <w:rFonts w:ascii="Cambria" w:hAnsi="Cambria"/>
          <w:color w:val="000000"/>
          <w:lang w:val="en-US"/>
        </w:rPr>
        <w:t>:</w:t>
      </w:r>
    </w:p>
    <w:p w14:paraId="7BD68257" w14:textId="77777777" w:rsidR="0095551E" w:rsidRPr="00483B28" w:rsidRDefault="0095551E" w:rsidP="00DF503A">
      <w:pPr>
        <w:spacing w:line="276" w:lineRule="auto"/>
        <w:rPr>
          <w:rFonts w:ascii="Cambria" w:hAnsi="Cambria"/>
          <w:color w:val="000000"/>
          <w:lang w:val="en-US"/>
        </w:rPr>
      </w:pPr>
      <w:r w:rsidRPr="00483B28">
        <w:rPr>
          <w:rFonts w:ascii="Cambria" w:hAnsi="Cambria"/>
          <w:color w:val="000000"/>
          <w:lang w:val="en-US"/>
        </w:rPr>
        <w:t xml:space="preserve">Brett, Michael. 2001. </w:t>
      </w:r>
      <w:r w:rsidRPr="00483B28">
        <w:rPr>
          <w:rFonts w:ascii="Cambria" w:hAnsi="Cambria"/>
          <w:i/>
          <w:color w:val="000000"/>
          <w:lang w:val="en-US"/>
        </w:rPr>
        <w:t>The Rise of the Fatimids: The World of the Mediterranean and the Middle East in the Fourth Century of the Hijra, Tenth Century CE</w:t>
      </w:r>
      <w:r w:rsidRPr="00483B28">
        <w:rPr>
          <w:rFonts w:ascii="Cambria" w:hAnsi="Cambria"/>
          <w:color w:val="000000"/>
          <w:lang w:val="en-US"/>
        </w:rPr>
        <w:t>. Leiden–Boston–Köln: Brill.</w:t>
      </w:r>
    </w:p>
    <w:p w14:paraId="6F534DB2" w14:textId="77777777" w:rsidR="0095551E" w:rsidRPr="00483B28" w:rsidRDefault="0095551E" w:rsidP="00DF503A">
      <w:pPr>
        <w:spacing w:line="276" w:lineRule="auto"/>
        <w:rPr>
          <w:rFonts w:ascii="Cambria" w:hAnsi="Cambria"/>
          <w:color w:val="000000"/>
          <w:lang w:val="en-US"/>
        </w:rPr>
      </w:pPr>
      <w:r w:rsidRPr="00483B28">
        <w:rPr>
          <w:rFonts w:ascii="Cambria" w:hAnsi="Cambria"/>
          <w:color w:val="000000"/>
          <w:lang w:val="en-US"/>
        </w:rPr>
        <w:t xml:space="preserve">Brett, Michael. 2019. </w:t>
      </w:r>
      <w:r w:rsidRPr="00483B28">
        <w:rPr>
          <w:rFonts w:ascii="Cambria" w:hAnsi="Cambria"/>
          <w:i/>
          <w:color w:val="000000"/>
          <w:lang w:val="en-US"/>
        </w:rPr>
        <w:t>The Fatimids and Egypt</w:t>
      </w:r>
      <w:r w:rsidRPr="00483B28">
        <w:rPr>
          <w:rFonts w:ascii="Cambria" w:hAnsi="Cambria"/>
          <w:color w:val="000000"/>
          <w:lang w:val="en-US"/>
        </w:rPr>
        <w:t>. Londyn: Routledge.</w:t>
      </w:r>
    </w:p>
    <w:p w14:paraId="69D89CDF" w14:textId="77777777" w:rsidR="0095551E" w:rsidRPr="00483B28" w:rsidRDefault="0095551E" w:rsidP="00DF503A">
      <w:pPr>
        <w:spacing w:line="276" w:lineRule="auto"/>
        <w:rPr>
          <w:rFonts w:ascii="Cambria" w:hAnsi="Cambria"/>
          <w:color w:val="000000"/>
          <w:lang w:val="en-US"/>
        </w:rPr>
      </w:pPr>
      <w:r w:rsidRPr="00483B28">
        <w:rPr>
          <w:rFonts w:ascii="Cambria" w:hAnsi="Cambria"/>
          <w:color w:val="000000"/>
          <w:lang w:val="en-US"/>
        </w:rPr>
        <w:t xml:space="preserve">Dennett, Daniel C. 1950. </w:t>
      </w:r>
      <w:r w:rsidRPr="00483B28">
        <w:rPr>
          <w:rFonts w:ascii="Cambria" w:hAnsi="Cambria"/>
          <w:i/>
          <w:color w:val="000000"/>
          <w:lang w:val="en-US"/>
        </w:rPr>
        <w:t>Conversion and the Poll Tax in Early Islam</w:t>
      </w:r>
      <w:r w:rsidRPr="00483B28">
        <w:rPr>
          <w:rFonts w:ascii="Cambria" w:hAnsi="Cambria"/>
          <w:color w:val="000000"/>
          <w:lang w:val="en-US"/>
        </w:rPr>
        <w:t>. Cambridge, MA: Harvard University Press.</w:t>
      </w:r>
    </w:p>
    <w:p w14:paraId="360716EA" w14:textId="77777777" w:rsidR="0095551E" w:rsidRPr="00483B28" w:rsidRDefault="0095551E" w:rsidP="00DF503A">
      <w:pPr>
        <w:spacing w:line="276" w:lineRule="auto"/>
        <w:rPr>
          <w:rFonts w:ascii="Cambria" w:hAnsi="Cambria"/>
          <w:color w:val="000000"/>
          <w:lang w:val="en-US"/>
        </w:rPr>
      </w:pPr>
      <w:proofErr w:type="spellStart"/>
      <w:r w:rsidRPr="00483B28">
        <w:rPr>
          <w:rFonts w:ascii="Cambria" w:hAnsi="Cambria"/>
          <w:color w:val="000000"/>
          <w:lang w:val="en-US"/>
        </w:rPr>
        <w:t>Meinardus</w:t>
      </w:r>
      <w:proofErr w:type="spellEnd"/>
      <w:r w:rsidRPr="00483B28">
        <w:rPr>
          <w:rFonts w:ascii="Cambria" w:hAnsi="Cambria"/>
          <w:color w:val="000000"/>
          <w:lang w:val="en-US"/>
        </w:rPr>
        <w:t xml:space="preserve">, Otto F. A. 2006. </w:t>
      </w:r>
      <w:r w:rsidRPr="00483B28">
        <w:rPr>
          <w:rFonts w:ascii="Cambria" w:hAnsi="Cambria"/>
          <w:i/>
          <w:color w:val="000000"/>
          <w:lang w:val="en-US"/>
        </w:rPr>
        <w:t>Two Thousand Years of Coptic Christianity</w:t>
      </w:r>
      <w:r w:rsidRPr="00483B28">
        <w:rPr>
          <w:rFonts w:ascii="Cambria" w:hAnsi="Cambria"/>
          <w:color w:val="000000"/>
          <w:lang w:val="en-US"/>
        </w:rPr>
        <w:t xml:space="preserve">. </w:t>
      </w:r>
      <w:proofErr w:type="spellStart"/>
      <w:r w:rsidRPr="00483B28">
        <w:rPr>
          <w:rFonts w:ascii="Cambria" w:hAnsi="Cambria"/>
          <w:color w:val="000000"/>
          <w:lang w:val="en-US"/>
        </w:rPr>
        <w:t>Kair</w:t>
      </w:r>
      <w:proofErr w:type="spellEnd"/>
      <w:r w:rsidRPr="00483B28">
        <w:rPr>
          <w:rFonts w:ascii="Cambria" w:hAnsi="Cambria"/>
          <w:color w:val="000000"/>
          <w:lang w:val="en-US"/>
        </w:rPr>
        <w:t>: American University in Cairo Press.</w:t>
      </w:r>
    </w:p>
    <w:p w14:paraId="4906EB2B" w14:textId="77777777" w:rsidR="0095551E" w:rsidRPr="00483B28" w:rsidRDefault="0095551E" w:rsidP="00DF503A">
      <w:pPr>
        <w:spacing w:line="276" w:lineRule="auto"/>
        <w:rPr>
          <w:rFonts w:ascii="Cambria" w:hAnsi="Cambria"/>
          <w:color w:val="000000"/>
          <w:lang w:val="en-US"/>
        </w:rPr>
      </w:pPr>
      <w:proofErr w:type="spellStart"/>
      <w:r w:rsidRPr="00483B28">
        <w:rPr>
          <w:rFonts w:ascii="Cambria" w:hAnsi="Cambria"/>
          <w:color w:val="000000"/>
          <w:lang w:val="en-US"/>
        </w:rPr>
        <w:t>Rubenson</w:t>
      </w:r>
      <w:proofErr w:type="spellEnd"/>
      <w:r w:rsidRPr="00483B28">
        <w:rPr>
          <w:rFonts w:ascii="Cambria" w:hAnsi="Cambria"/>
          <w:color w:val="000000"/>
          <w:lang w:val="en-US"/>
        </w:rPr>
        <w:t xml:space="preserve">, Samuel. 1996. „The Transition from Coptic to Arabic”. </w:t>
      </w:r>
      <w:proofErr w:type="spellStart"/>
      <w:r w:rsidRPr="00483B28">
        <w:rPr>
          <w:rFonts w:ascii="Cambria" w:hAnsi="Cambria"/>
          <w:i/>
          <w:color w:val="000000"/>
          <w:lang w:val="en-US"/>
        </w:rPr>
        <w:t>Égypte</w:t>
      </w:r>
      <w:proofErr w:type="spellEnd"/>
      <w:r w:rsidRPr="00483B28">
        <w:rPr>
          <w:rFonts w:ascii="Cambria" w:hAnsi="Cambria"/>
          <w:i/>
          <w:color w:val="000000"/>
          <w:lang w:val="en-US"/>
        </w:rPr>
        <w:t xml:space="preserve">/Monde </w:t>
      </w:r>
      <w:proofErr w:type="spellStart"/>
      <w:r w:rsidRPr="00483B28">
        <w:rPr>
          <w:rFonts w:ascii="Cambria" w:hAnsi="Cambria"/>
          <w:i/>
          <w:color w:val="000000"/>
          <w:lang w:val="en-US"/>
        </w:rPr>
        <w:t>arabe</w:t>
      </w:r>
      <w:proofErr w:type="spellEnd"/>
      <w:r w:rsidRPr="00483B28">
        <w:rPr>
          <w:rFonts w:ascii="Cambria" w:hAnsi="Cambria"/>
          <w:color w:val="000000"/>
          <w:lang w:val="en-US"/>
        </w:rPr>
        <w:t xml:space="preserve"> 27–28: 77–92.</w:t>
      </w:r>
      <w:hyperlink r:id="rId8">
        <w:r w:rsidRPr="00483B28">
          <w:rPr>
            <w:rStyle w:val="Hipercze"/>
            <w:rFonts w:ascii="Cambria" w:hAnsi="Cambria"/>
            <w:lang w:val="en-US"/>
          </w:rPr>
          <w:t xml:space="preserve"> </w:t>
        </w:r>
      </w:hyperlink>
      <w:hyperlink r:id="rId9">
        <w:r w:rsidRPr="00483B28">
          <w:rPr>
            <w:rStyle w:val="Hipercze"/>
            <w:rFonts w:ascii="Cambria" w:hAnsi="Cambria"/>
            <w:lang w:val="en-US"/>
          </w:rPr>
          <w:t>https://doi.org/10.4000/ema.1920</w:t>
        </w:r>
      </w:hyperlink>
      <w:r w:rsidRPr="00483B28">
        <w:rPr>
          <w:rFonts w:ascii="Cambria" w:hAnsi="Cambria"/>
          <w:color w:val="000000"/>
          <w:lang w:val="en-US"/>
        </w:rPr>
        <w:t>.</w:t>
      </w:r>
    </w:p>
    <w:p w14:paraId="2978BA7F" w14:textId="77777777" w:rsidR="0095551E" w:rsidRPr="00483B28" w:rsidRDefault="0095551E" w:rsidP="00DF503A">
      <w:pPr>
        <w:spacing w:line="276" w:lineRule="auto"/>
        <w:rPr>
          <w:rFonts w:ascii="Cambria" w:hAnsi="Cambria"/>
          <w:color w:val="000000"/>
          <w:lang w:val="pl"/>
        </w:rPr>
      </w:pPr>
      <w:r w:rsidRPr="00483B28">
        <w:rPr>
          <w:rFonts w:ascii="Cambria" w:hAnsi="Cambria"/>
          <w:color w:val="000000"/>
          <w:lang w:val="en-US"/>
        </w:rPr>
        <w:t xml:space="preserve">Saleh, Mohamed. 2018. „On the Road to Heaven: Taxation, Conversions, and the Coptic-Muslim Socioeconomic Gap in Medieval Egypt”. </w:t>
      </w:r>
      <w:r w:rsidRPr="00483B28">
        <w:rPr>
          <w:rFonts w:ascii="Cambria" w:hAnsi="Cambria"/>
          <w:i/>
          <w:color w:val="000000"/>
          <w:lang w:val="en-US"/>
        </w:rPr>
        <w:t>The Journal of Economic History</w:t>
      </w:r>
      <w:r w:rsidRPr="00483B28">
        <w:rPr>
          <w:rFonts w:ascii="Cambria" w:hAnsi="Cambria"/>
          <w:color w:val="000000"/>
          <w:lang w:val="en-US"/>
        </w:rPr>
        <w:t xml:space="preserve"> 78: 394–434.</w:t>
      </w:r>
      <w:hyperlink r:id="rId10">
        <w:r w:rsidRPr="00483B28">
          <w:rPr>
            <w:rStyle w:val="Hipercze"/>
            <w:rFonts w:ascii="Cambria" w:hAnsi="Cambria"/>
            <w:lang w:val="en-US"/>
          </w:rPr>
          <w:t xml:space="preserve"> </w:t>
        </w:r>
      </w:hyperlink>
      <w:hyperlink r:id="rId11">
        <w:r w:rsidRPr="00483B28">
          <w:rPr>
            <w:rStyle w:val="Hipercze"/>
            <w:rFonts w:ascii="Cambria" w:hAnsi="Cambria"/>
            <w:lang w:val="pl"/>
          </w:rPr>
          <w:t>https://doi.org/10.1017/S0022050718000190</w:t>
        </w:r>
      </w:hyperlink>
      <w:r w:rsidRPr="00483B28">
        <w:rPr>
          <w:rFonts w:ascii="Cambria" w:hAnsi="Cambria"/>
          <w:color w:val="000000"/>
          <w:lang w:val="pl"/>
        </w:rPr>
        <w:t>.</w:t>
      </w:r>
    </w:p>
    <w:p w14:paraId="57F8CF1B" w14:textId="77777777" w:rsidR="0095551E" w:rsidRPr="00483B28" w:rsidRDefault="0095551E" w:rsidP="00DF503A">
      <w:pPr>
        <w:spacing w:line="276" w:lineRule="auto"/>
        <w:rPr>
          <w:rFonts w:ascii="Cambria" w:hAnsi="Cambria"/>
          <w:color w:val="000000"/>
        </w:rPr>
      </w:pPr>
    </w:p>
    <w:sectPr w:rsidR="0095551E" w:rsidRPr="0048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2916" w14:textId="77777777" w:rsidR="002E3288" w:rsidRDefault="002E3288" w:rsidP="002A73A2">
      <w:pPr>
        <w:spacing w:after="0" w:line="240" w:lineRule="auto"/>
      </w:pPr>
      <w:r>
        <w:separator/>
      </w:r>
    </w:p>
  </w:endnote>
  <w:endnote w:type="continuationSeparator" w:id="0">
    <w:p w14:paraId="4D374B56" w14:textId="77777777" w:rsidR="002E3288" w:rsidRDefault="002E3288" w:rsidP="002A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7B538" w14:textId="77777777" w:rsidR="002E3288" w:rsidRDefault="002E3288" w:rsidP="002A73A2">
      <w:pPr>
        <w:spacing w:after="0" w:line="240" w:lineRule="auto"/>
      </w:pPr>
      <w:r>
        <w:separator/>
      </w:r>
    </w:p>
  </w:footnote>
  <w:footnote w:type="continuationSeparator" w:id="0">
    <w:p w14:paraId="60DAC53C" w14:textId="77777777" w:rsidR="002E3288" w:rsidRDefault="002E3288" w:rsidP="002A7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72"/>
    <w:rsid w:val="000100E2"/>
    <w:rsid w:val="00010594"/>
    <w:rsid w:val="00010F18"/>
    <w:rsid w:val="000322D8"/>
    <w:rsid w:val="00040987"/>
    <w:rsid w:val="000655C5"/>
    <w:rsid w:val="00084FF4"/>
    <w:rsid w:val="00090CD6"/>
    <w:rsid w:val="0009234D"/>
    <w:rsid w:val="000A7595"/>
    <w:rsid w:val="000C266B"/>
    <w:rsid w:val="000C550F"/>
    <w:rsid w:val="000C772A"/>
    <w:rsid w:val="000D4829"/>
    <w:rsid w:val="000E0B6B"/>
    <w:rsid w:val="000E2108"/>
    <w:rsid w:val="000E216A"/>
    <w:rsid w:val="000E6C58"/>
    <w:rsid w:val="000F49CE"/>
    <w:rsid w:val="000F5A79"/>
    <w:rsid w:val="000F634D"/>
    <w:rsid w:val="00117F05"/>
    <w:rsid w:val="0012047F"/>
    <w:rsid w:val="00120F53"/>
    <w:rsid w:val="0012143A"/>
    <w:rsid w:val="00131145"/>
    <w:rsid w:val="001333E5"/>
    <w:rsid w:val="00142C3B"/>
    <w:rsid w:val="0014311B"/>
    <w:rsid w:val="00145B1F"/>
    <w:rsid w:val="0015315A"/>
    <w:rsid w:val="0016111E"/>
    <w:rsid w:val="00172F0F"/>
    <w:rsid w:val="00176AA1"/>
    <w:rsid w:val="00180189"/>
    <w:rsid w:val="00181AA2"/>
    <w:rsid w:val="00183CCE"/>
    <w:rsid w:val="001B071B"/>
    <w:rsid w:val="001B09C4"/>
    <w:rsid w:val="001B4AF1"/>
    <w:rsid w:val="001B5A77"/>
    <w:rsid w:val="001D3459"/>
    <w:rsid w:val="001D36F6"/>
    <w:rsid w:val="001F1A34"/>
    <w:rsid w:val="001F7487"/>
    <w:rsid w:val="001F7AB0"/>
    <w:rsid w:val="001F7E12"/>
    <w:rsid w:val="00201481"/>
    <w:rsid w:val="002037C0"/>
    <w:rsid w:val="0020705D"/>
    <w:rsid w:val="00207718"/>
    <w:rsid w:val="002130E1"/>
    <w:rsid w:val="00214EEE"/>
    <w:rsid w:val="00221E35"/>
    <w:rsid w:val="0022690F"/>
    <w:rsid w:val="0023243F"/>
    <w:rsid w:val="00240929"/>
    <w:rsid w:val="002479AA"/>
    <w:rsid w:val="00263DE4"/>
    <w:rsid w:val="002743B4"/>
    <w:rsid w:val="0027774B"/>
    <w:rsid w:val="00287758"/>
    <w:rsid w:val="002908C9"/>
    <w:rsid w:val="002A73A2"/>
    <w:rsid w:val="002C45BF"/>
    <w:rsid w:val="002D23C2"/>
    <w:rsid w:val="002D3FDA"/>
    <w:rsid w:val="002E3288"/>
    <w:rsid w:val="002F0795"/>
    <w:rsid w:val="002F0896"/>
    <w:rsid w:val="0030276B"/>
    <w:rsid w:val="00303A6F"/>
    <w:rsid w:val="00305A23"/>
    <w:rsid w:val="003138C9"/>
    <w:rsid w:val="003157B3"/>
    <w:rsid w:val="0032072D"/>
    <w:rsid w:val="003213DC"/>
    <w:rsid w:val="003217CF"/>
    <w:rsid w:val="0032298C"/>
    <w:rsid w:val="003238D6"/>
    <w:rsid w:val="0032482A"/>
    <w:rsid w:val="00327270"/>
    <w:rsid w:val="0033121E"/>
    <w:rsid w:val="00341B4B"/>
    <w:rsid w:val="0034347D"/>
    <w:rsid w:val="00343CB9"/>
    <w:rsid w:val="00345028"/>
    <w:rsid w:val="00350C55"/>
    <w:rsid w:val="00355095"/>
    <w:rsid w:val="003A159A"/>
    <w:rsid w:val="003A1BBA"/>
    <w:rsid w:val="003A2484"/>
    <w:rsid w:val="003B0115"/>
    <w:rsid w:val="003B54FC"/>
    <w:rsid w:val="003B7A31"/>
    <w:rsid w:val="003C6204"/>
    <w:rsid w:val="003C70D0"/>
    <w:rsid w:val="003C7BCD"/>
    <w:rsid w:val="003D0756"/>
    <w:rsid w:val="003D2874"/>
    <w:rsid w:val="003E4C6B"/>
    <w:rsid w:val="003E707C"/>
    <w:rsid w:val="0040379B"/>
    <w:rsid w:val="004147AE"/>
    <w:rsid w:val="004171D3"/>
    <w:rsid w:val="004209D3"/>
    <w:rsid w:val="004241CD"/>
    <w:rsid w:val="00425E70"/>
    <w:rsid w:val="00431083"/>
    <w:rsid w:val="004351C8"/>
    <w:rsid w:val="00435487"/>
    <w:rsid w:val="00437AD1"/>
    <w:rsid w:val="00441FD1"/>
    <w:rsid w:val="00463708"/>
    <w:rsid w:val="004752D2"/>
    <w:rsid w:val="00481E9C"/>
    <w:rsid w:val="00483B28"/>
    <w:rsid w:val="0049430F"/>
    <w:rsid w:val="0049697D"/>
    <w:rsid w:val="004A21B2"/>
    <w:rsid w:val="004A7578"/>
    <w:rsid w:val="004A7FE2"/>
    <w:rsid w:val="004B46B0"/>
    <w:rsid w:val="004B62AD"/>
    <w:rsid w:val="004C4FD2"/>
    <w:rsid w:val="004C753C"/>
    <w:rsid w:val="004C7F7D"/>
    <w:rsid w:val="004D4E29"/>
    <w:rsid w:val="004D5785"/>
    <w:rsid w:val="004E5AE2"/>
    <w:rsid w:val="004F28F6"/>
    <w:rsid w:val="004F29B3"/>
    <w:rsid w:val="004F5132"/>
    <w:rsid w:val="00507E2F"/>
    <w:rsid w:val="00510340"/>
    <w:rsid w:val="005226F8"/>
    <w:rsid w:val="00524B05"/>
    <w:rsid w:val="0053051A"/>
    <w:rsid w:val="005329EA"/>
    <w:rsid w:val="00542120"/>
    <w:rsid w:val="005423CC"/>
    <w:rsid w:val="00546144"/>
    <w:rsid w:val="005615DE"/>
    <w:rsid w:val="005644E8"/>
    <w:rsid w:val="0057642F"/>
    <w:rsid w:val="005902A6"/>
    <w:rsid w:val="005909DA"/>
    <w:rsid w:val="00592B56"/>
    <w:rsid w:val="005948EF"/>
    <w:rsid w:val="0059588C"/>
    <w:rsid w:val="00596F40"/>
    <w:rsid w:val="0059764E"/>
    <w:rsid w:val="005B3216"/>
    <w:rsid w:val="005D0EB3"/>
    <w:rsid w:val="005D15FD"/>
    <w:rsid w:val="005D169D"/>
    <w:rsid w:val="005D195D"/>
    <w:rsid w:val="005D5147"/>
    <w:rsid w:val="005E5889"/>
    <w:rsid w:val="005E695A"/>
    <w:rsid w:val="005F5747"/>
    <w:rsid w:val="0060007D"/>
    <w:rsid w:val="00600D04"/>
    <w:rsid w:val="006069DC"/>
    <w:rsid w:val="006069EE"/>
    <w:rsid w:val="006221B6"/>
    <w:rsid w:val="00625BF1"/>
    <w:rsid w:val="00627256"/>
    <w:rsid w:val="00635EE5"/>
    <w:rsid w:val="00636462"/>
    <w:rsid w:val="0064400A"/>
    <w:rsid w:val="00645AD1"/>
    <w:rsid w:val="00646DF0"/>
    <w:rsid w:val="00650CD6"/>
    <w:rsid w:val="00664A92"/>
    <w:rsid w:val="00665356"/>
    <w:rsid w:val="00665456"/>
    <w:rsid w:val="00674EA8"/>
    <w:rsid w:val="00675184"/>
    <w:rsid w:val="006754DD"/>
    <w:rsid w:val="00682519"/>
    <w:rsid w:val="00687251"/>
    <w:rsid w:val="0069260D"/>
    <w:rsid w:val="00693C81"/>
    <w:rsid w:val="00694F7B"/>
    <w:rsid w:val="006A0A9A"/>
    <w:rsid w:val="006A33F0"/>
    <w:rsid w:val="006E27C1"/>
    <w:rsid w:val="00714066"/>
    <w:rsid w:val="00717CD8"/>
    <w:rsid w:val="007241F9"/>
    <w:rsid w:val="007322CD"/>
    <w:rsid w:val="00741092"/>
    <w:rsid w:val="00744612"/>
    <w:rsid w:val="007507AA"/>
    <w:rsid w:val="00750AAA"/>
    <w:rsid w:val="00760A9E"/>
    <w:rsid w:val="00772849"/>
    <w:rsid w:val="00785799"/>
    <w:rsid w:val="00786977"/>
    <w:rsid w:val="007916DC"/>
    <w:rsid w:val="007B2E71"/>
    <w:rsid w:val="007B60EA"/>
    <w:rsid w:val="007C39C2"/>
    <w:rsid w:val="007E5F2E"/>
    <w:rsid w:val="007E6032"/>
    <w:rsid w:val="007F363E"/>
    <w:rsid w:val="007F4989"/>
    <w:rsid w:val="007F5E13"/>
    <w:rsid w:val="008016B1"/>
    <w:rsid w:val="008025A0"/>
    <w:rsid w:val="0080333D"/>
    <w:rsid w:val="008052F0"/>
    <w:rsid w:val="0080728C"/>
    <w:rsid w:val="00825E65"/>
    <w:rsid w:val="008313FE"/>
    <w:rsid w:val="0084037D"/>
    <w:rsid w:val="00840C5D"/>
    <w:rsid w:val="00850368"/>
    <w:rsid w:val="0085250A"/>
    <w:rsid w:val="00862456"/>
    <w:rsid w:val="00863E6C"/>
    <w:rsid w:val="00875892"/>
    <w:rsid w:val="00876BB6"/>
    <w:rsid w:val="008812CE"/>
    <w:rsid w:val="008A0916"/>
    <w:rsid w:val="008A13BB"/>
    <w:rsid w:val="008B15EB"/>
    <w:rsid w:val="008B225F"/>
    <w:rsid w:val="008B3F56"/>
    <w:rsid w:val="008B4AFE"/>
    <w:rsid w:val="008C7FDB"/>
    <w:rsid w:val="008D02E7"/>
    <w:rsid w:val="008D49E0"/>
    <w:rsid w:val="008E24BD"/>
    <w:rsid w:val="008E3C54"/>
    <w:rsid w:val="008E4B16"/>
    <w:rsid w:val="008E6839"/>
    <w:rsid w:val="008E750D"/>
    <w:rsid w:val="008F22E7"/>
    <w:rsid w:val="008F2894"/>
    <w:rsid w:val="008F4442"/>
    <w:rsid w:val="008F7D4A"/>
    <w:rsid w:val="00900A64"/>
    <w:rsid w:val="00913D6A"/>
    <w:rsid w:val="00923EEE"/>
    <w:rsid w:val="0093199D"/>
    <w:rsid w:val="0094038C"/>
    <w:rsid w:val="00940750"/>
    <w:rsid w:val="00947635"/>
    <w:rsid w:val="0095551E"/>
    <w:rsid w:val="00956A63"/>
    <w:rsid w:val="00957B15"/>
    <w:rsid w:val="00960972"/>
    <w:rsid w:val="00963724"/>
    <w:rsid w:val="009712DE"/>
    <w:rsid w:val="00975D93"/>
    <w:rsid w:val="009762C8"/>
    <w:rsid w:val="0098595A"/>
    <w:rsid w:val="009873FB"/>
    <w:rsid w:val="00991091"/>
    <w:rsid w:val="009919BB"/>
    <w:rsid w:val="009925F3"/>
    <w:rsid w:val="00996465"/>
    <w:rsid w:val="009A5EDA"/>
    <w:rsid w:val="009B36A3"/>
    <w:rsid w:val="009B65AE"/>
    <w:rsid w:val="009B7E35"/>
    <w:rsid w:val="009C1C3D"/>
    <w:rsid w:val="009C7E47"/>
    <w:rsid w:val="009D02E0"/>
    <w:rsid w:val="009D1195"/>
    <w:rsid w:val="009F0903"/>
    <w:rsid w:val="009F1263"/>
    <w:rsid w:val="009F1ECB"/>
    <w:rsid w:val="009F4985"/>
    <w:rsid w:val="00A057B0"/>
    <w:rsid w:val="00A1043F"/>
    <w:rsid w:val="00A21E3F"/>
    <w:rsid w:val="00A34960"/>
    <w:rsid w:val="00A41FF8"/>
    <w:rsid w:val="00A47B59"/>
    <w:rsid w:val="00A522DA"/>
    <w:rsid w:val="00A633CF"/>
    <w:rsid w:val="00A745D1"/>
    <w:rsid w:val="00A80395"/>
    <w:rsid w:val="00A8203E"/>
    <w:rsid w:val="00A91771"/>
    <w:rsid w:val="00A9434F"/>
    <w:rsid w:val="00AB0619"/>
    <w:rsid w:val="00AC52AE"/>
    <w:rsid w:val="00AF67CC"/>
    <w:rsid w:val="00AF7155"/>
    <w:rsid w:val="00B00D29"/>
    <w:rsid w:val="00B05F71"/>
    <w:rsid w:val="00B11880"/>
    <w:rsid w:val="00B14193"/>
    <w:rsid w:val="00B156E4"/>
    <w:rsid w:val="00B23A35"/>
    <w:rsid w:val="00B23E7D"/>
    <w:rsid w:val="00B24F86"/>
    <w:rsid w:val="00B26658"/>
    <w:rsid w:val="00B30549"/>
    <w:rsid w:val="00B31CF2"/>
    <w:rsid w:val="00B347DD"/>
    <w:rsid w:val="00B36BED"/>
    <w:rsid w:val="00B4094E"/>
    <w:rsid w:val="00B44A97"/>
    <w:rsid w:val="00B5450A"/>
    <w:rsid w:val="00B579BE"/>
    <w:rsid w:val="00B6442D"/>
    <w:rsid w:val="00B65F0C"/>
    <w:rsid w:val="00B67687"/>
    <w:rsid w:val="00B725C1"/>
    <w:rsid w:val="00B76529"/>
    <w:rsid w:val="00B966FE"/>
    <w:rsid w:val="00B97BB7"/>
    <w:rsid w:val="00BA15AD"/>
    <w:rsid w:val="00BB6CB5"/>
    <w:rsid w:val="00BE700B"/>
    <w:rsid w:val="00BF1BD7"/>
    <w:rsid w:val="00BF4020"/>
    <w:rsid w:val="00C02123"/>
    <w:rsid w:val="00C051E3"/>
    <w:rsid w:val="00C1135A"/>
    <w:rsid w:val="00C1150B"/>
    <w:rsid w:val="00C1259B"/>
    <w:rsid w:val="00C14A19"/>
    <w:rsid w:val="00C14FCA"/>
    <w:rsid w:val="00C15FCD"/>
    <w:rsid w:val="00C251F4"/>
    <w:rsid w:val="00C321C0"/>
    <w:rsid w:val="00C36B92"/>
    <w:rsid w:val="00C37E9B"/>
    <w:rsid w:val="00C4416D"/>
    <w:rsid w:val="00C62658"/>
    <w:rsid w:val="00C635BB"/>
    <w:rsid w:val="00C6662B"/>
    <w:rsid w:val="00C72E96"/>
    <w:rsid w:val="00C72EBE"/>
    <w:rsid w:val="00C763DF"/>
    <w:rsid w:val="00C83694"/>
    <w:rsid w:val="00C84A50"/>
    <w:rsid w:val="00C84AD1"/>
    <w:rsid w:val="00C87DE3"/>
    <w:rsid w:val="00C87F0D"/>
    <w:rsid w:val="00CA6E86"/>
    <w:rsid w:val="00CB29C6"/>
    <w:rsid w:val="00CD04EC"/>
    <w:rsid w:val="00CE0552"/>
    <w:rsid w:val="00CE18D8"/>
    <w:rsid w:val="00CE34B2"/>
    <w:rsid w:val="00CF18DB"/>
    <w:rsid w:val="00CF1F91"/>
    <w:rsid w:val="00CF290B"/>
    <w:rsid w:val="00D008E4"/>
    <w:rsid w:val="00D00B8A"/>
    <w:rsid w:val="00D032E4"/>
    <w:rsid w:val="00D10A72"/>
    <w:rsid w:val="00D15E1A"/>
    <w:rsid w:val="00D24F29"/>
    <w:rsid w:val="00D26101"/>
    <w:rsid w:val="00D32D06"/>
    <w:rsid w:val="00D400B0"/>
    <w:rsid w:val="00D4050C"/>
    <w:rsid w:val="00D427F8"/>
    <w:rsid w:val="00D42BEC"/>
    <w:rsid w:val="00D44E2D"/>
    <w:rsid w:val="00D46334"/>
    <w:rsid w:val="00D60C45"/>
    <w:rsid w:val="00D63FC2"/>
    <w:rsid w:val="00D73280"/>
    <w:rsid w:val="00D7553A"/>
    <w:rsid w:val="00D82DAA"/>
    <w:rsid w:val="00D8748F"/>
    <w:rsid w:val="00D91C39"/>
    <w:rsid w:val="00DA2A3D"/>
    <w:rsid w:val="00DB0AFE"/>
    <w:rsid w:val="00DB5809"/>
    <w:rsid w:val="00DB6C9C"/>
    <w:rsid w:val="00DC19AB"/>
    <w:rsid w:val="00DC56DD"/>
    <w:rsid w:val="00DC718F"/>
    <w:rsid w:val="00DD25A0"/>
    <w:rsid w:val="00DD262D"/>
    <w:rsid w:val="00DE2C74"/>
    <w:rsid w:val="00DF1443"/>
    <w:rsid w:val="00DF503A"/>
    <w:rsid w:val="00DF7DE4"/>
    <w:rsid w:val="00E02B51"/>
    <w:rsid w:val="00E11DC5"/>
    <w:rsid w:val="00E124EA"/>
    <w:rsid w:val="00E12A89"/>
    <w:rsid w:val="00E17B3A"/>
    <w:rsid w:val="00E20040"/>
    <w:rsid w:val="00E36631"/>
    <w:rsid w:val="00E41DE9"/>
    <w:rsid w:val="00E46834"/>
    <w:rsid w:val="00E46D25"/>
    <w:rsid w:val="00E5414B"/>
    <w:rsid w:val="00E542D5"/>
    <w:rsid w:val="00E5789E"/>
    <w:rsid w:val="00E613AA"/>
    <w:rsid w:val="00E63F62"/>
    <w:rsid w:val="00E673D1"/>
    <w:rsid w:val="00E76770"/>
    <w:rsid w:val="00E81981"/>
    <w:rsid w:val="00E825E5"/>
    <w:rsid w:val="00E91F62"/>
    <w:rsid w:val="00E976B8"/>
    <w:rsid w:val="00EA30CE"/>
    <w:rsid w:val="00EB0F48"/>
    <w:rsid w:val="00EB6B0D"/>
    <w:rsid w:val="00EC05DA"/>
    <w:rsid w:val="00EC7A41"/>
    <w:rsid w:val="00EE4E31"/>
    <w:rsid w:val="00EE5353"/>
    <w:rsid w:val="00F032BE"/>
    <w:rsid w:val="00F036D6"/>
    <w:rsid w:val="00F147AC"/>
    <w:rsid w:val="00F25819"/>
    <w:rsid w:val="00F27C76"/>
    <w:rsid w:val="00F311C3"/>
    <w:rsid w:val="00F323FD"/>
    <w:rsid w:val="00F32B74"/>
    <w:rsid w:val="00F3419A"/>
    <w:rsid w:val="00F34791"/>
    <w:rsid w:val="00F41C1D"/>
    <w:rsid w:val="00F635D9"/>
    <w:rsid w:val="00F64109"/>
    <w:rsid w:val="00F7051E"/>
    <w:rsid w:val="00F9180A"/>
    <w:rsid w:val="00F9257C"/>
    <w:rsid w:val="00FA5D49"/>
    <w:rsid w:val="00FA71C7"/>
    <w:rsid w:val="00FB3D8A"/>
    <w:rsid w:val="00FB4D43"/>
    <w:rsid w:val="00FC702A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1D146"/>
  <w15:chartTrackingRefBased/>
  <w15:docId w15:val="{F55396F8-6419-4F68-B480-DF13EBD6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A73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A73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A73A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803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333D"/>
  </w:style>
  <w:style w:type="paragraph" w:styleId="Stopka">
    <w:name w:val="footer"/>
    <w:basedOn w:val="Normalny"/>
    <w:link w:val="StopkaZnak"/>
    <w:uiPriority w:val="99"/>
    <w:unhideWhenUsed/>
    <w:rsid w:val="00803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333D"/>
  </w:style>
  <w:style w:type="character" w:styleId="Hipercze">
    <w:name w:val="Hyperlink"/>
    <w:basedOn w:val="Domylnaczcionkaakapitu"/>
    <w:uiPriority w:val="99"/>
    <w:unhideWhenUsed/>
    <w:rsid w:val="0095551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55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00/ema.192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i.org/10.1017/S002205071800019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i.org/10.1017/S002205071800019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4000/ema.19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5</Pages>
  <Words>1425</Words>
  <Characters>8554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Pszen</dc:creator>
  <cp:keywords/>
  <dc:description/>
  <cp:lastModifiedBy>Pszen</cp:lastModifiedBy>
  <cp:revision>563</cp:revision>
  <dcterms:created xsi:type="dcterms:W3CDTF">2025-05-08T15:43:00Z</dcterms:created>
  <dcterms:modified xsi:type="dcterms:W3CDTF">2025-05-13T14:31:00Z</dcterms:modified>
</cp:coreProperties>
</file>