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44"/>
        </w:rPr>
        <w:t>WarpTalk B2B Billing &amp; Payment Implementation Report</w:t>
      </w:r>
    </w:p>
    <w:p>
      <w:pPr>
        <w:jc w:val="center"/>
      </w:pPr>
      <w:r>
        <w:rPr>
          <w:rFonts w:ascii="Calibri" w:hAnsi="Calibri"/>
          <w:i/>
          <w:color w:val="555555"/>
          <w:sz w:val="26"/>
        </w:rPr>
        <w:t>Bản báo cáo đối chiếu chi tiết giữa thiết kế nghiệp vụ và mã nguồn thực tế</w:t>
      </w:r>
    </w:p>
    <w:p/>
    <w:p>
      <w:r>
        <w:rPr>
          <w:rFonts w:ascii="Calibri" w:hAnsi="Calibri"/>
          <w:b/>
          <w:color w:val="1B365D"/>
          <w:sz w:val="32"/>
        </w:rPr>
        <w:t>1. Trạng Thái Đáp Ứng Yêu Cầu Nghiệp Vụ</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B365D"/>
          </w:tcPr>
          <w:p>
            <w:pPr>
              <w:jc w:val="center"/>
            </w:pPr>
            <w:r>
              <w:rPr>
                <w:b/>
                <w:color w:val="FFFFFF"/>
                <w:sz w:val="21"/>
              </w:rPr>
              <w:t>Nghiệp vụ (B2B Billing Plan)</w:t>
            </w:r>
          </w:p>
        </w:tc>
        <w:tc>
          <w:tcPr>
            <w:tcW w:type="dxa" w:w="1728"/>
            <w:shd w:fill="1B365D"/>
          </w:tcPr>
          <w:p>
            <w:pPr>
              <w:jc w:val="center"/>
            </w:pPr>
            <w:r>
              <w:rPr>
                <w:b/>
                <w:color w:val="FFFFFF"/>
                <w:sz w:val="21"/>
              </w:rPr>
              <w:t>Trạng thái</w:t>
            </w:r>
          </w:p>
        </w:tc>
        <w:tc>
          <w:tcPr>
            <w:tcW w:type="dxa" w:w="4752"/>
            <w:shd w:fill="1B365D"/>
          </w:tcPr>
          <w:p>
            <w:pPr>
              <w:jc w:val="center"/>
            </w:pPr>
            <w:r>
              <w:rPr>
                <w:b/>
                <w:color w:val="FFFFFF"/>
                <w:sz w:val="21"/>
              </w:rPr>
              <w:t>Chi tiết triển khai trong Source Code</w:t>
            </w:r>
          </w:p>
        </w:tc>
      </w:tr>
      <w:tr>
        <w:tc>
          <w:tcPr>
            <w:tcW w:type="dxa" w:w="2880"/>
          </w:tcPr>
          <w:p>
            <w:r>
              <w:rPr>
                <w:sz w:val="19"/>
              </w:rPr>
              <w:t>Mô hình ví dùng chung cấp Workspace (Workspace-pooled Credits)</w:t>
            </w:r>
          </w:p>
        </w:tc>
        <w:tc>
          <w:tcPr>
            <w:tcW w:type="dxa" w:w="1728"/>
          </w:tcPr>
          <w:p>
            <w:pPr>
              <w:jc w:val="center"/>
            </w:pPr>
            <w:r>
              <w:rPr>
                <w:b/>
                <w:color w:val="2E7D32"/>
                <w:sz w:val="19"/>
              </w:rPr>
              <w:t>Hoàn thành</w:t>
            </w:r>
          </w:p>
        </w:tc>
        <w:tc>
          <w:tcPr>
            <w:tcW w:type="dxa" w:w="4752"/>
          </w:tcPr>
          <w:p>
            <w:r>
              <w:rPr>
                <w:sz w:val="19"/>
              </w:rPr>
              <w:t>Tất cả API kiểm tra số dư (GetWorkspaceCredits), trừ tiền (ConsumeCredits, RecordUsage) và đặt trước (ReserveCredits) đều được xác thực và cập nhật số dư dựa trên WorkspaceId thay vì ID cá nhân, đảm bảo toàn bộ thành viên dùng chung ví credits.</w:t>
            </w:r>
          </w:p>
        </w:tc>
      </w:tr>
      <w:tr>
        <w:tc>
          <w:tcPr>
            <w:tcW w:type="dxa" w:w="2880"/>
          </w:tcPr>
          <w:p>
            <w:r>
              <w:rPr>
                <w:sz w:val="19"/>
              </w:rPr>
              <w:t>Cơ cấu gói dịch vụ (Tiers)</w:t>
            </w:r>
          </w:p>
        </w:tc>
        <w:tc>
          <w:tcPr>
            <w:tcW w:type="dxa" w:w="1728"/>
          </w:tcPr>
          <w:p>
            <w:pPr>
              <w:jc w:val="center"/>
            </w:pPr>
            <w:r>
              <w:rPr>
                <w:b/>
                <w:color w:val="2E7D32"/>
                <w:sz w:val="19"/>
              </w:rPr>
              <w:t>Hoàn thành</w:t>
            </w:r>
          </w:p>
        </w:tc>
        <w:tc>
          <w:tcPr>
            <w:tcW w:type="dxa" w:w="4752"/>
          </w:tcPr>
          <w:p>
            <w:r>
              <w:rPr>
                <w:sz w:val="19"/>
              </w:rPr>
              <w:t>Đã định cấu hình gói tại database thông qua script patch-plans.sql. Cập nhật model Plan.cs để lưu trữ hạn mức voice clone (VoiceCloneLimitMins) và các cờ phân quyền (AllowGlossary, AllowAcl).</w:t>
            </w:r>
          </w:p>
        </w:tc>
      </w:tr>
      <w:tr>
        <w:tc>
          <w:tcPr>
            <w:tcW w:type="dxa" w:w="2880"/>
          </w:tcPr>
          <w:p>
            <w:r>
              <w:rPr>
                <w:sz w:val="19"/>
              </w:rPr>
              <w:t>Giới hạn Voice Cloning gói Startup</w:t>
            </w:r>
          </w:p>
        </w:tc>
        <w:tc>
          <w:tcPr>
            <w:tcW w:type="dxa" w:w="1728"/>
          </w:tcPr>
          <w:p>
            <w:pPr>
              <w:jc w:val="center"/>
            </w:pPr>
            <w:r>
              <w:rPr>
                <w:b/>
                <w:color w:val="2E7D32"/>
                <w:sz w:val="19"/>
              </w:rPr>
              <w:t>Hoàn thành</w:t>
            </w:r>
          </w:p>
        </w:tc>
        <w:tc>
          <w:tcPr>
            <w:tcW w:type="dxa" w:w="4752"/>
          </w:tcPr>
          <w:p>
            <w:r>
              <w:rPr>
                <w:sz w:val="19"/>
              </w:rPr>
              <w:t>Triển khai hàm GetVoiceCloneMinutesUsedThisCycleAsync để tính tổng số giây voice clone đã sử dụng trong chu kỳ hiện tại. Nếu vượt quá 120 phút, hệ thống từ chối và trả về lỗi mã VOICE_CLONE_LIMIT_EXCEEDED để AI pipeline tự động fallback sang Standard TTS.</w:t>
            </w:r>
          </w:p>
        </w:tc>
      </w:tr>
      <w:tr>
        <w:tc>
          <w:tcPr>
            <w:tcW w:type="dxa" w:w="2880"/>
          </w:tcPr>
          <w:p>
            <w:r>
              <w:rPr>
                <w:sz w:val="19"/>
              </w:rPr>
              <w:t>Định mức tiêu thụ Credits (Minute-based)</w:t>
            </w:r>
          </w:p>
        </w:tc>
        <w:tc>
          <w:tcPr>
            <w:tcW w:type="dxa" w:w="1728"/>
          </w:tcPr>
          <w:p>
            <w:pPr>
              <w:jc w:val="center"/>
            </w:pPr>
            <w:r>
              <w:rPr>
                <w:b/>
                <w:color w:val="2E7D32"/>
                <w:sz w:val="19"/>
              </w:rPr>
              <w:t>Hoàn thành</w:t>
            </w:r>
          </w:p>
        </w:tc>
        <w:tc>
          <w:tcPr>
            <w:tcW w:type="dxa" w:w="4752"/>
          </w:tcPr>
          <w:p>
            <w:r>
              <w:rPr>
                <w:sz w:val="19"/>
              </w:rPr>
              <w:t>Viết lại hàm CalculateCreditCost trong CreditAndUsageService.cs. Chi phí được tính chính xác dựa trên thời gian chạy (audioSeconds) nhân với tổng mức phí các tác vụ AI đang chạy (STT, Translation, TTS).</w:t>
            </w:r>
          </w:p>
        </w:tc>
      </w:tr>
      <w:tr>
        <w:tc>
          <w:tcPr>
            <w:tcW w:type="dxa" w:w="2880"/>
          </w:tcPr>
          <w:p>
            <w:r>
              <w:rPr>
                <w:sz w:val="19"/>
              </w:rPr>
              <w:t>Nạp tiền Top-up qua Stripe &amp; Chiết khấu lũy tiến</w:t>
            </w:r>
          </w:p>
        </w:tc>
        <w:tc>
          <w:tcPr>
            <w:tcW w:type="dxa" w:w="1728"/>
          </w:tcPr>
          <w:p>
            <w:pPr>
              <w:jc w:val="center"/>
            </w:pPr>
            <w:r>
              <w:rPr>
                <w:b/>
                <w:color w:val="2E7D32"/>
                <w:sz w:val="19"/>
              </w:rPr>
              <w:t>Hoàn thành</w:t>
            </w:r>
          </w:p>
        </w:tc>
        <w:tc>
          <w:tcPr>
            <w:tcW w:type="dxa" w:w="4752"/>
          </w:tcPr>
          <w:p>
            <w:r>
              <w:rPr>
                <w:sz w:val="19"/>
              </w:rPr>
              <w:t>Cập nhật hàm xử lý thanh toán thành công ProcessPaymentSuccessInternal tại BillingGrpcService.cs. Khi phát hiện PaymentType là 'CreditTopUp', hệ thống quy đổi từ số tiền thanh toán thực tế (VND) sang số lượng credits tương ứng với các bậc chiết khấu lũy tiến.</w:t>
            </w:r>
          </w:p>
        </w:tc>
      </w:tr>
      <w:tr>
        <w:tc>
          <w:tcPr>
            <w:tcW w:type="dxa" w:w="2880"/>
          </w:tcPr>
          <w:p>
            <w:r>
              <w:rPr>
                <w:sz w:val="19"/>
              </w:rPr>
              <w:t>Bảo mật Glossary &amp; ACL nâng cao</w:t>
            </w:r>
          </w:p>
        </w:tc>
        <w:tc>
          <w:tcPr>
            <w:tcW w:type="dxa" w:w="1728"/>
          </w:tcPr>
          <w:p>
            <w:pPr>
              <w:jc w:val="center"/>
            </w:pPr>
            <w:r>
              <w:rPr>
                <w:b/>
                <w:color w:val="2E7D32"/>
                <w:sz w:val="19"/>
              </w:rPr>
              <w:t>Hoàn thành</w:t>
            </w:r>
          </w:p>
        </w:tc>
        <w:tc>
          <w:tcPr>
            <w:tcW w:type="dxa" w:w="4752"/>
          </w:tcPr>
          <w:p>
            <w:r>
              <w:rPr>
                <w:sz w:val="19"/>
              </w:rPr>
              <w:t>Quyền hạn được quản lý tập trung thông qua API check quyền GetWorkspaceFeatureAccess sử dụng các cờ thuộc tính đã ánh xạ từ Plan. Gói Enterprise sẽ được kích hoạt quyền tạo Glossary và phân quyền tài liệu.</w:t>
            </w:r>
          </w:p>
        </w:tc>
      </w:tr>
      <w:tr>
        <w:tc>
          <w:tcPr>
            <w:tcW w:type="dxa" w:w="2880"/>
          </w:tcPr>
          <w:p>
            <w:r>
              <w:rPr>
                <w:sz w:val="19"/>
              </w:rPr>
              <w:t>Chính sách hoàn trả B2B (Manual Refund)</w:t>
            </w:r>
          </w:p>
        </w:tc>
        <w:tc>
          <w:tcPr>
            <w:tcW w:type="dxa" w:w="1728"/>
          </w:tcPr>
          <w:p>
            <w:pPr>
              <w:jc w:val="center"/>
            </w:pPr>
            <w:r>
              <w:rPr>
                <w:b/>
                <w:color w:val="2E7D32"/>
                <w:sz w:val="19"/>
              </w:rPr>
              <w:t>Hoàn thành</w:t>
            </w:r>
          </w:p>
        </w:tc>
        <w:tc>
          <w:tcPr>
            <w:tcW w:type="dxa" w:w="4752"/>
          </w:tcPr>
          <w:p>
            <w:r>
              <w:rPr>
                <w:sz w:val="19"/>
              </w:rPr>
              <w:t>Hỗ trợ admin hoàn trả lại credits thủ công thông qua API AdjustCreditsAsync đã được tích hợp đầy đủ cơ chế lưu vết (Audit Trail / Reference ID) để đối soát lỗi hệ thống khi có yêu cầu hoàn trả qua support ticket.</w:t>
            </w:r>
          </w:p>
        </w:tc>
      </w:tr>
    </w:tbl>
    <w:p/>
    <w:p>
      <w:r>
        <w:rPr>
          <w:rFonts w:ascii="Calibri" w:hAnsi="Calibri"/>
          <w:b/>
          <w:color w:val="1B365D"/>
          <w:sz w:val="32"/>
        </w:rPr>
        <w:t>2. Chi Tiết Các Thay Đổi Trong Source Code</w:t>
      </w:r>
    </w:p>
    <w:p>
      <w:pPr>
        <w:pStyle w:val="ListBullet"/>
      </w:pPr>
      <w:r>
        <w:rPr>
          <w:b/>
          <w:sz w:val="21"/>
        </w:rPr>
        <w:t xml:space="preserve">Plan.cs: </w:t>
      </w:r>
      <w:r>
        <w:rPr>
          <w:sz w:val="21"/>
        </w:rPr>
        <w:t>Bổ sung các thuộc tính VoiceCloneLimitMins, AllowGlossary, AllowAcl.</w:t>
      </w:r>
    </w:p>
    <w:p>
      <w:pPr>
        <w:pStyle w:val="ListBullet"/>
      </w:pPr>
      <w:r>
        <w:rPr>
          <w:b/>
          <w:sz w:val="21"/>
        </w:rPr>
        <w:t xml:space="preserve">BillingDbContext.cs: </w:t>
      </w:r>
      <w:r>
        <w:rPr>
          <w:sz w:val="21"/>
        </w:rPr>
        <w:t>Cấu hình mapping Fluent API cho các thuộc tính mới sang DB columns tương ứng.</w:t>
      </w:r>
    </w:p>
    <w:p>
      <w:pPr>
        <w:pStyle w:val="ListBullet"/>
      </w:pPr>
      <w:r>
        <w:rPr>
          <w:b/>
          <w:sz w:val="21"/>
        </w:rPr>
        <w:t xml:space="preserve">CreditAndUsageService.cs: </w:t>
      </w:r>
      <w:r>
        <w:rPr>
          <w:sz w:val="21"/>
        </w:rPr>
        <w:t>Tính toán credit cost dựa trên phút; bổ sung logic check giới hạn và chặn sử dụng Voice Clone quá hạn cho gói Startup.</w:t>
      </w:r>
    </w:p>
    <w:p>
      <w:pPr>
        <w:pStyle w:val="ListBullet"/>
      </w:pPr>
      <w:r>
        <w:rPr>
          <w:b/>
          <w:sz w:val="21"/>
        </w:rPr>
        <w:t xml:space="preserve">BillingGrpcService.cs: </w:t>
      </w:r>
      <w:r>
        <w:rPr>
          <w:sz w:val="21"/>
        </w:rPr>
        <w:t>Cập nhật hàm hoàn thành thanh toán để cộng thêm credits lũy tiến cho các bậc nạp tiền Top-Up và bảo vệ tính chu kỳ của gói cước.</w:t>
      </w:r>
    </w:p>
    <w:p>
      <w:pPr>
        <w:pStyle w:val="ListBullet"/>
      </w:pPr>
      <w:r>
        <w:rPr>
          <w:b/>
          <w:sz w:val="21"/>
        </w:rPr>
        <w:t xml:space="preserve">CreditServiceTests.cs &amp; RealtimeCostCalculatorTests.cs: </w:t>
      </w:r>
      <w:r>
        <w:rPr>
          <w:sz w:val="21"/>
        </w:rPr>
        <w:t>Thêm các test case để kiểm soát chất lượng phần giới hạn sử dụng và biểu phí mới.</w:t>
      </w:r>
    </w:p>
    <w:p/>
    <w:p>
      <w:r>
        <w:rPr>
          <w:rFonts w:ascii="Calibri" w:hAnsi="Calibri"/>
          <w:b/>
          <w:color w:val="1B365D"/>
          <w:sz w:val="32"/>
        </w:rPr>
        <w:t>3. Khảo Sát Tích Hợp Hệ Thống &amp; Điểm Cần Lưu Ý</w:t>
      </w:r>
    </w:p>
    <w:p>
      <w:pPr>
        <w:pStyle w:val="ListBullet"/>
      </w:pPr>
      <w:r>
        <w:rPr>
          <w:b/>
          <w:sz w:val="21"/>
        </w:rPr>
        <w:t xml:space="preserve">Chu kỳ đăng ký (Monthly &amp; Yearly): </w:t>
      </w:r>
      <w:r>
        <w:rPr>
          <w:sz w:val="21"/>
        </w:rPr>
        <w:t>Vẫn được lưu giữ độc lập và kiểm soát trọn vẹn trong luồng subscription thông thường.</w:t>
      </w:r>
    </w:p>
    <w:p>
      <w:pPr>
        <w:pStyle w:val="ListBullet"/>
      </w:pPr>
      <w:r>
        <w:rPr>
          <w:b/>
          <w:sz w:val="21"/>
        </w:rPr>
        <w:t xml:space="preserve">Hạn mức Voice Cloning: </w:t>
      </w:r>
      <w:r>
        <w:rPr>
          <w:sz w:val="21"/>
        </w:rPr>
        <w:t>Hoạt động hoàn toàn qua cơ chế lỗi VOICE_CLONE_LIMIT_EXCEEDED, đảm bảo các worker AI có thể tự động fallback sang Standard TTS mà không cần sửa code ở các service khác.</w:t>
      </w:r>
    </w:p>
    <w:p>
      <w:pPr>
        <w:pStyle w:val="ListBullet"/>
      </w:pPr>
      <w:r>
        <w:rPr>
          <w:b/>
          <w:sz w:val="21"/>
        </w:rPr>
        <w:t xml:space="preserve">Mã Stripe Price ID: </w:t>
      </w:r>
      <w:r>
        <w:rPr>
          <w:sz w:val="21"/>
        </w:rPr>
        <w:t>Đảm bảo đăng ký khớp mã sản phẩm và Price ID trên hệ thống Stripe Dashboard để đồng bộ hóa đơn thanh toán cho Subscription.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