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7EA75" w14:textId="4239E6AB" w:rsidR="003F5395" w:rsidRDefault="003F5395" w:rsidP="003F5395"/>
    <w:p w14:paraId="260A7FD8" w14:textId="77777777" w:rsidR="003F5395" w:rsidRDefault="003F5395" w:rsidP="003F5395"/>
    <w:p w14:paraId="094F8901" w14:textId="30332340" w:rsidR="00B36C5F" w:rsidRDefault="00B36C5F" w:rsidP="003F5395">
      <w:pPr>
        <w:jc w:val="center"/>
        <w:rPr>
          <w:sz w:val="32"/>
          <w:szCs w:val="32"/>
        </w:rPr>
      </w:pPr>
      <w:r w:rsidRPr="00B36C5F">
        <w:rPr>
          <w:sz w:val="32"/>
          <w:szCs w:val="32"/>
        </w:rPr>
        <w:t>Defending American Digital Infrastructure:</w:t>
      </w:r>
      <w:r w:rsidR="00FC5F5A">
        <w:rPr>
          <w:sz w:val="32"/>
          <w:szCs w:val="32"/>
        </w:rPr>
        <w:t xml:space="preserve"> A </w:t>
      </w:r>
      <w:r w:rsidR="00210011">
        <w:rPr>
          <w:sz w:val="32"/>
          <w:szCs w:val="32"/>
        </w:rPr>
        <w:t xml:space="preserve">Proposed </w:t>
      </w:r>
      <w:r w:rsidRPr="00B36C5F">
        <w:rPr>
          <w:sz w:val="32"/>
          <w:szCs w:val="32"/>
        </w:rPr>
        <w:t>U.S. Military Framework for Classifying Cyber Operations as Acts of War</w:t>
      </w:r>
      <w:r w:rsidR="00283759">
        <w:rPr>
          <w:sz w:val="32"/>
          <w:szCs w:val="32"/>
        </w:rPr>
        <w:t xml:space="preserve"> </w:t>
      </w:r>
    </w:p>
    <w:p w14:paraId="2D519144" w14:textId="2C06509E" w:rsidR="003F5395" w:rsidRPr="00867725" w:rsidRDefault="003F5395" w:rsidP="003F5395">
      <w:pPr>
        <w:jc w:val="center"/>
        <w:rPr>
          <w:sz w:val="32"/>
          <w:szCs w:val="32"/>
        </w:rPr>
      </w:pPr>
      <w:r w:rsidRPr="00867725">
        <w:rPr>
          <w:sz w:val="32"/>
          <w:szCs w:val="32"/>
        </w:rPr>
        <w:t>Ty Chermsirivatana</w:t>
      </w:r>
    </w:p>
    <w:p w14:paraId="08528FF7" w14:textId="77777777" w:rsidR="003F5395" w:rsidRPr="00867725" w:rsidRDefault="003F5395" w:rsidP="003F5395">
      <w:pPr>
        <w:jc w:val="center"/>
        <w:rPr>
          <w:sz w:val="32"/>
          <w:szCs w:val="32"/>
        </w:rPr>
      </w:pPr>
      <w:r w:rsidRPr="00867725">
        <w:rPr>
          <w:sz w:val="32"/>
          <w:szCs w:val="32"/>
        </w:rPr>
        <w:t>Dickinson College</w:t>
      </w:r>
    </w:p>
    <w:p w14:paraId="5E7A692E" w14:textId="0C6D811E" w:rsidR="003F5395" w:rsidRDefault="008C1A38" w:rsidP="003F5395">
      <w:pPr>
        <w:jc w:val="center"/>
        <w:rPr>
          <w:sz w:val="32"/>
          <w:szCs w:val="32"/>
        </w:rPr>
      </w:pPr>
      <w:r>
        <w:rPr>
          <w:sz w:val="32"/>
          <w:szCs w:val="32"/>
        </w:rPr>
        <w:t xml:space="preserve">December </w:t>
      </w:r>
      <w:r w:rsidR="003007C7">
        <w:rPr>
          <w:sz w:val="32"/>
          <w:szCs w:val="32"/>
        </w:rPr>
        <w:t>12</w:t>
      </w:r>
      <w:r w:rsidR="00210011">
        <w:rPr>
          <w:sz w:val="32"/>
          <w:szCs w:val="32"/>
        </w:rPr>
        <w:t>th</w:t>
      </w:r>
      <w:r w:rsidR="067C5C57" w:rsidRPr="5371D110">
        <w:rPr>
          <w:sz w:val="32"/>
          <w:szCs w:val="32"/>
        </w:rPr>
        <w:t>, 2024</w:t>
      </w:r>
    </w:p>
    <w:p w14:paraId="459A497B" w14:textId="67F080B1" w:rsidR="001D4128" w:rsidRDefault="001D4128" w:rsidP="003F5395">
      <w:pPr>
        <w:jc w:val="center"/>
        <w:rPr>
          <w:sz w:val="32"/>
          <w:szCs w:val="32"/>
        </w:rPr>
      </w:pPr>
      <w:r>
        <w:rPr>
          <w:sz w:val="32"/>
          <w:szCs w:val="32"/>
        </w:rPr>
        <w:t>Words: 3046</w:t>
      </w:r>
    </w:p>
    <w:p w14:paraId="6269BE49" w14:textId="77777777" w:rsidR="003F5395" w:rsidRDefault="003F5395" w:rsidP="003F5395"/>
    <w:p w14:paraId="0DB5E245" w14:textId="77777777" w:rsidR="003F5395" w:rsidRDefault="003F5395" w:rsidP="003F5395"/>
    <w:p w14:paraId="15B62C30" w14:textId="77777777" w:rsidR="003F5395" w:rsidRDefault="003F5395" w:rsidP="003F5395"/>
    <w:p w14:paraId="08C9ECFB" w14:textId="77777777" w:rsidR="003F5395" w:rsidRDefault="003F5395" w:rsidP="003F5395"/>
    <w:p w14:paraId="45950DDC" w14:textId="77777777" w:rsidR="003F5395" w:rsidRDefault="003F5395" w:rsidP="003F5395"/>
    <w:p w14:paraId="02417F00" w14:textId="77777777" w:rsidR="003F5395" w:rsidRDefault="003F5395" w:rsidP="003F5395"/>
    <w:p w14:paraId="49C363A8" w14:textId="77777777" w:rsidR="00C41CB9" w:rsidRDefault="00C41CB9"/>
    <w:p w14:paraId="352465EA" w14:textId="68073B7F" w:rsidR="00C41CB9" w:rsidRDefault="00C41CB9" w:rsidP="003F5395">
      <w:r>
        <w:tab/>
      </w:r>
    </w:p>
    <w:p w14:paraId="68BE1F80" w14:textId="77777777" w:rsidR="00BC2014" w:rsidRDefault="00BC2014"/>
    <w:p w14:paraId="765A6921" w14:textId="77777777" w:rsidR="00BC2014" w:rsidRDefault="00BC2014"/>
    <w:p w14:paraId="5C41EBE6" w14:textId="77777777" w:rsidR="00BC2014" w:rsidRDefault="00BC2014" w:rsidP="00BC2014">
      <w:pPr>
        <w:jc w:val="center"/>
        <w:rPr>
          <w:sz w:val="24"/>
          <w:szCs w:val="24"/>
        </w:rPr>
      </w:pPr>
    </w:p>
    <w:p w14:paraId="7441B9F1" w14:textId="77777777" w:rsidR="00BC2014" w:rsidRDefault="00BC2014" w:rsidP="00BC2014">
      <w:pPr>
        <w:jc w:val="center"/>
        <w:rPr>
          <w:sz w:val="24"/>
          <w:szCs w:val="24"/>
        </w:rPr>
      </w:pPr>
    </w:p>
    <w:p w14:paraId="19145828" w14:textId="77777777" w:rsidR="00BC2014" w:rsidRDefault="00BC2014" w:rsidP="00BC2014">
      <w:pPr>
        <w:jc w:val="center"/>
        <w:rPr>
          <w:sz w:val="24"/>
          <w:szCs w:val="24"/>
        </w:rPr>
      </w:pPr>
    </w:p>
    <w:p w14:paraId="194291B7" w14:textId="77777777" w:rsidR="00BC2014" w:rsidRDefault="00BC2014" w:rsidP="00BC2014">
      <w:pPr>
        <w:jc w:val="center"/>
        <w:rPr>
          <w:sz w:val="24"/>
          <w:szCs w:val="24"/>
        </w:rPr>
      </w:pPr>
    </w:p>
    <w:p w14:paraId="17E336D7" w14:textId="77777777" w:rsidR="00BC2014" w:rsidRDefault="00BC2014" w:rsidP="00BC2014">
      <w:pPr>
        <w:jc w:val="center"/>
        <w:rPr>
          <w:sz w:val="24"/>
          <w:szCs w:val="24"/>
        </w:rPr>
      </w:pPr>
    </w:p>
    <w:p w14:paraId="72712A14" w14:textId="77777777" w:rsidR="00BC2014" w:rsidRDefault="00BC2014" w:rsidP="00BC2014">
      <w:pPr>
        <w:jc w:val="center"/>
        <w:rPr>
          <w:sz w:val="24"/>
          <w:szCs w:val="24"/>
        </w:rPr>
      </w:pPr>
    </w:p>
    <w:p w14:paraId="0B8DADE4" w14:textId="77777777" w:rsidR="00BC2014" w:rsidRDefault="00BC2014" w:rsidP="00BC2014">
      <w:pPr>
        <w:jc w:val="center"/>
        <w:rPr>
          <w:sz w:val="24"/>
          <w:szCs w:val="24"/>
        </w:rPr>
      </w:pPr>
    </w:p>
    <w:p w14:paraId="0BFF65AB" w14:textId="77777777" w:rsidR="00640C90" w:rsidRDefault="00640C90" w:rsidP="00D87B49">
      <w:pPr>
        <w:spacing w:line="480" w:lineRule="auto"/>
        <w:rPr>
          <w:sz w:val="24"/>
          <w:szCs w:val="24"/>
        </w:rPr>
      </w:pPr>
    </w:p>
    <w:p w14:paraId="0F4B9B24" w14:textId="18764345" w:rsidR="00B85800" w:rsidRPr="00B85800" w:rsidRDefault="00B85800" w:rsidP="00B85800">
      <w:pPr>
        <w:spacing w:line="480" w:lineRule="auto"/>
        <w:jc w:val="center"/>
        <w:rPr>
          <w:sz w:val="24"/>
          <w:szCs w:val="24"/>
        </w:rPr>
      </w:pPr>
      <w:r>
        <w:rPr>
          <w:sz w:val="24"/>
          <w:szCs w:val="24"/>
        </w:rPr>
        <w:lastRenderedPageBreak/>
        <w:t>I. Introduction</w:t>
      </w:r>
    </w:p>
    <w:p w14:paraId="209AAE5A" w14:textId="046A736D" w:rsidR="00C70D58" w:rsidRDefault="003007C7" w:rsidP="00B85800">
      <w:pPr>
        <w:spacing w:line="480" w:lineRule="auto"/>
        <w:ind w:firstLine="720"/>
        <w:rPr>
          <w:sz w:val="24"/>
          <w:szCs w:val="24"/>
        </w:rPr>
      </w:pPr>
      <w:r>
        <w:rPr>
          <w:sz w:val="24"/>
          <w:szCs w:val="24"/>
        </w:rPr>
        <w:t>C</w:t>
      </w:r>
      <w:r w:rsidR="00FA64CA" w:rsidRPr="00FA64CA">
        <w:rPr>
          <w:sz w:val="24"/>
          <w:szCs w:val="24"/>
        </w:rPr>
        <w:t xml:space="preserve">yberspace has emerged as </w:t>
      </w:r>
      <w:r w:rsidR="00504260" w:rsidRPr="00FA64CA">
        <w:rPr>
          <w:sz w:val="24"/>
          <w:szCs w:val="24"/>
        </w:rPr>
        <w:t>one</w:t>
      </w:r>
      <w:r>
        <w:rPr>
          <w:sz w:val="24"/>
          <w:szCs w:val="24"/>
        </w:rPr>
        <w:t xml:space="preserve"> of the most critical domains of warfare in the 2</w:t>
      </w:r>
      <w:r w:rsidR="00504260">
        <w:rPr>
          <w:sz w:val="24"/>
          <w:szCs w:val="24"/>
        </w:rPr>
        <w:t xml:space="preserve">1st </w:t>
      </w:r>
      <w:r>
        <w:rPr>
          <w:sz w:val="24"/>
          <w:szCs w:val="24"/>
        </w:rPr>
        <w:t xml:space="preserve">century. It is a domain </w:t>
      </w:r>
      <w:r w:rsidR="00FA64CA" w:rsidRPr="00FA64CA">
        <w:rPr>
          <w:sz w:val="24"/>
          <w:szCs w:val="24"/>
        </w:rPr>
        <w:t>that challenges traditional military paradigms and international legal frameworks</w:t>
      </w:r>
      <w:r>
        <w:rPr>
          <w:sz w:val="24"/>
          <w:szCs w:val="24"/>
        </w:rPr>
        <w:t xml:space="preserve"> in its decentralized and highly evasive </w:t>
      </w:r>
      <w:r w:rsidR="00504260">
        <w:rPr>
          <w:sz w:val="24"/>
          <w:szCs w:val="24"/>
        </w:rPr>
        <w:t>nature.</w:t>
      </w:r>
      <w:r w:rsidR="00FA64CA" w:rsidRPr="00FA64CA">
        <w:rPr>
          <w:sz w:val="24"/>
          <w:szCs w:val="24"/>
        </w:rPr>
        <w:t xml:space="preserve"> As evidenced by sophisticated state-sponsored operations like China's Volt Typhoon campaign and the SolarWinds breach, the line between cyber espionage and acts of war has become increasingly blurred, creating significant challenges for military strategists and policymakers. While the Law of Armed Conflict (LOAC) provides foundational principles for conventional warfare, its application to cyber operations remains problematic due to attribution challenges, the complexity of measuring digital harm, and the often-invisible nature of cyber weapons. The Department of Defense Information Network (DODIN) and U.S. Cyber Command have developed robust defensive capabilities, yet they operate without clear frameworks for classifying when cyber operations cross the threshold from espionage to acts of war.</w:t>
      </w:r>
      <w:r w:rsidR="00463F16">
        <w:rPr>
          <w:sz w:val="24"/>
          <w:szCs w:val="24"/>
        </w:rPr>
        <w:t xml:space="preserve"> </w:t>
      </w:r>
      <w:r w:rsidR="00463F16" w:rsidRPr="00463F16">
        <w:rPr>
          <w:sz w:val="24"/>
          <w:szCs w:val="24"/>
        </w:rPr>
        <w:t>This ambiguity has significant implications for national security, as demonstrated by the evolution of Chinese cyber operations from the targeted espionage of Titan Rain in 2003 to the sophisticated infrastructure penetration of Volt Typhoon</w:t>
      </w:r>
      <w:r w:rsidR="003D6DA5">
        <w:rPr>
          <w:rStyle w:val="FootnoteReference"/>
          <w:sz w:val="24"/>
          <w:szCs w:val="24"/>
        </w:rPr>
        <w:footnoteReference w:id="2"/>
      </w:r>
      <w:r w:rsidR="00463F16" w:rsidRPr="00463F16">
        <w:rPr>
          <w:sz w:val="24"/>
          <w:szCs w:val="24"/>
        </w:rPr>
        <w:t xml:space="preserve"> in 2024. Current U.S. cyber doctrine, including the "defend forward" strategy and integrated deterrence policies, provides operational guidance but lacks specific criteria for classifying hostile actions as acts of war. This gap becomes particularly problematic when confronting sophisticated state-sponsored threats that operate in the gray zone between peacetime competition and </w:t>
      </w:r>
      <w:r w:rsidR="00463F16" w:rsidRPr="00463F16">
        <w:rPr>
          <w:sz w:val="24"/>
          <w:szCs w:val="24"/>
        </w:rPr>
        <w:lastRenderedPageBreak/>
        <w:t>armed conflict.</w:t>
      </w:r>
      <w:r w:rsidR="00463F16">
        <w:rPr>
          <w:sz w:val="24"/>
          <w:szCs w:val="24"/>
        </w:rPr>
        <w:t xml:space="preserve"> </w:t>
      </w:r>
      <w:r w:rsidR="00463F16" w:rsidRPr="00463F16">
        <w:rPr>
          <w:sz w:val="24"/>
          <w:szCs w:val="24"/>
        </w:rPr>
        <w:t xml:space="preserve">This paper proposes the CHERM (Criticality, Harm Potential, Evident Attribution, Response Necessity, and Magnitude of Intent) framework as a structured approach for evaluating and classifying cyber operations as acts of war. Building upon existing U.S. cyber doctrine and international law, CHERM offers a comprehensive methodology that addresses the unique characteristics of cyber warfare while maintaining alignment with established military traditions. This systematic approach not only enhances strategic clarity in cyber conflict but also provides military commanders and policymakers with a practical tool for determining appropriate responses to hostile cyber operations, ultimately strengthening national security in an increasing digital battlespace. Through detailed analysis of recent cyber operations, military doctrine, and international legal principles, this </w:t>
      </w:r>
      <w:r w:rsidR="00463F16">
        <w:rPr>
          <w:sz w:val="24"/>
          <w:szCs w:val="24"/>
        </w:rPr>
        <w:t xml:space="preserve">paper </w:t>
      </w:r>
      <w:r w:rsidR="00463F16" w:rsidRPr="00463F16">
        <w:rPr>
          <w:sz w:val="24"/>
          <w:szCs w:val="24"/>
        </w:rPr>
        <w:t>demonstrates how the CHERM framework can address current gaps in cyber warfare classification while providing a foundation for future policy development in an era where digital and kinetic warfare increasingly converge.</w:t>
      </w:r>
    </w:p>
    <w:p w14:paraId="014F4D2E" w14:textId="65395D88" w:rsidR="00B85800" w:rsidRDefault="00B85800" w:rsidP="00B85800">
      <w:pPr>
        <w:spacing w:line="480" w:lineRule="auto"/>
        <w:jc w:val="center"/>
        <w:rPr>
          <w:sz w:val="24"/>
          <w:szCs w:val="24"/>
        </w:rPr>
      </w:pPr>
      <w:r>
        <w:rPr>
          <w:sz w:val="24"/>
          <w:szCs w:val="24"/>
        </w:rPr>
        <w:t>II. Background &amp; Preceden</w:t>
      </w:r>
      <w:r w:rsidR="00E17A75">
        <w:rPr>
          <w:sz w:val="24"/>
          <w:szCs w:val="24"/>
        </w:rPr>
        <w:t>ce</w:t>
      </w:r>
    </w:p>
    <w:p w14:paraId="3AA22C31" w14:textId="7DFBEDC1" w:rsidR="00A32FE4" w:rsidRDefault="009533B3" w:rsidP="009533B3">
      <w:pPr>
        <w:spacing w:line="480" w:lineRule="auto"/>
        <w:ind w:firstLine="720"/>
        <w:rPr>
          <w:rFonts w:eastAsiaTheme="minorEastAsia"/>
          <w:color w:val="000000" w:themeColor="text1"/>
          <w:sz w:val="24"/>
          <w:szCs w:val="24"/>
        </w:rPr>
      </w:pPr>
      <w:r>
        <w:rPr>
          <w:rFonts w:eastAsiaTheme="minorEastAsia"/>
          <w:color w:val="000000" w:themeColor="text1"/>
          <w:sz w:val="24"/>
          <w:szCs w:val="24"/>
        </w:rPr>
        <w:t xml:space="preserve">To begin, it’s important to note the impact of </w:t>
      </w:r>
      <w:r w:rsidRPr="009533B3">
        <w:rPr>
          <w:rFonts w:eastAsiaTheme="minorEastAsia"/>
          <w:color w:val="000000" w:themeColor="text1"/>
          <w:sz w:val="24"/>
          <w:szCs w:val="24"/>
        </w:rPr>
        <w:t xml:space="preserve">cyber warfare </w:t>
      </w:r>
      <w:r>
        <w:rPr>
          <w:rFonts w:eastAsiaTheme="minorEastAsia"/>
          <w:color w:val="000000" w:themeColor="text1"/>
          <w:sz w:val="24"/>
          <w:szCs w:val="24"/>
        </w:rPr>
        <w:t xml:space="preserve">as a </w:t>
      </w:r>
      <w:r w:rsidRPr="009533B3">
        <w:rPr>
          <w:rFonts w:eastAsiaTheme="minorEastAsia"/>
          <w:color w:val="000000" w:themeColor="text1"/>
          <w:sz w:val="24"/>
          <w:szCs w:val="24"/>
        </w:rPr>
        <w:t>represent</w:t>
      </w:r>
      <w:r>
        <w:rPr>
          <w:rFonts w:eastAsiaTheme="minorEastAsia"/>
          <w:color w:val="000000" w:themeColor="text1"/>
          <w:sz w:val="24"/>
          <w:szCs w:val="24"/>
        </w:rPr>
        <w:t xml:space="preserve">ation of a shift </w:t>
      </w:r>
      <w:r w:rsidRPr="009533B3">
        <w:rPr>
          <w:rFonts w:eastAsiaTheme="minorEastAsia"/>
          <w:color w:val="000000" w:themeColor="text1"/>
          <w:sz w:val="24"/>
          <w:szCs w:val="24"/>
        </w:rPr>
        <w:t xml:space="preserve">in military operations, shifting from rudimentary network penetration to sophisticated campaigns capable of disrupting critical infrastructure and threatening national security. This transformation is particularly evident in examining China's cyber operations against the United States from 2003 to 2024, which demonstrate both increasing technical sophistication and strategic complexity in cyber threats. The Titan Rain campaign of 2003-2005 serves as a crucial historical baseline, representing China's emergence as a significant cyber actor. According to TIME's investigation, network security analyst Shawn </w:t>
      </w:r>
      <w:r w:rsidRPr="009533B3">
        <w:rPr>
          <w:rFonts w:eastAsiaTheme="minorEastAsia"/>
          <w:color w:val="000000" w:themeColor="text1"/>
          <w:sz w:val="24"/>
          <w:szCs w:val="24"/>
        </w:rPr>
        <w:lastRenderedPageBreak/>
        <w:t>Carpenter</w:t>
      </w:r>
      <w:r w:rsidR="003D0E8D">
        <w:rPr>
          <w:rStyle w:val="FootnoteReference"/>
          <w:rFonts w:eastAsiaTheme="minorEastAsia"/>
          <w:color w:val="000000" w:themeColor="text1"/>
          <w:sz w:val="24"/>
          <w:szCs w:val="24"/>
        </w:rPr>
        <w:footnoteReference w:id="3"/>
      </w:r>
      <w:r w:rsidRPr="009533B3">
        <w:rPr>
          <w:rFonts w:eastAsiaTheme="minorEastAsia"/>
          <w:color w:val="000000" w:themeColor="text1"/>
          <w:sz w:val="24"/>
          <w:szCs w:val="24"/>
        </w:rPr>
        <w:t xml:space="preserve"> first identified the distinct characteristics of these attacks while investigating network breaches at Lockheed Martin, noting unprecedented discipline in the attackers' methodologies. The operational pattern involved sophisticated techniques including commandeering hidden sections of hard drives, compressing targeted files, and transmitting them through intermediary servers in South Korea, Hong Kong, or Taiwan before reaching their destination in mainland China. This technical sophistication was matched by strategic scope, with Carpenter's investigation revealing that the attacks originated from "three Chinese routers that acted as the first connection point from a local network to the Internet" in China's Guangdong province. The systematic nature of these attacks suggested a level of organization and resources typically associated with state-sponsored operations, marking a significant evolution from earlier, more primitive cyber intrusions. The Department of Defense's response to Titan Rain highlighted significant institutional challenges in U.S. cyber defense, with TIME reporting that "frustrated network protectors say that the FBI in particular doesn't have enough top-notch computer gumshoes to track down the foreign rings and that their hands are often tied by the strict rules of engagement."</w:t>
      </w:r>
      <w:r w:rsidR="00A10096">
        <w:rPr>
          <w:rStyle w:val="FootnoteReference"/>
          <w:rFonts w:eastAsiaTheme="minorEastAsia"/>
          <w:color w:val="000000" w:themeColor="text1"/>
          <w:sz w:val="24"/>
          <w:szCs w:val="24"/>
        </w:rPr>
        <w:footnoteReference w:id="4"/>
      </w:r>
      <w:r w:rsidRPr="009533B3">
        <w:rPr>
          <w:rFonts w:eastAsiaTheme="minorEastAsia"/>
          <w:color w:val="000000" w:themeColor="text1"/>
          <w:sz w:val="24"/>
          <w:szCs w:val="24"/>
        </w:rPr>
        <w:t xml:space="preserve"> </w:t>
      </w:r>
    </w:p>
    <w:p w14:paraId="05CFDEBA" w14:textId="459B04B0" w:rsidR="00B85800" w:rsidRDefault="009533B3" w:rsidP="009533B3">
      <w:pPr>
        <w:spacing w:line="480" w:lineRule="auto"/>
        <w:ind w:firstLine="720"/>
        <w:rPr>
          <w:rFonts w:eastAsiaTheme="minorEastAsia"/>
          <w:color w:val="000000" w:themeColor="text1"/>
          <w:sz w:val="24"/>
          <w:szCs w:val="24"/>
        </w:rPr>
      </w:pPr>
      <w:r w:rsidRPr="009533B3">
        <w:rPr>
          <w:rFonts w:eastAsiaTheme="minorEastAsia"/>
          <w:color w:val="000000" w:themeColor="text1"/>
          <w:sz w:val="24"/>
          <w:szCs w:val="24"/>
        </w:rPr>
        <w:t>This early period established patterns that would become increasingly relevant as cyber operations evolved, particularly regarding attribution challenges and the need for coordinated response mechanisms across military and civilian agencies.</w:t>
      </w:r>
      <w:r w:rsidR="00EC6535">
        <w:rPr>
          <w:rFonts w:eastAsiaTheme="minorEastAsia"/>
          <w:color w:val="000000" w:themeColor="text1"/>
          <w:sz w:val="24"/>
          <w:szCs w:val="24"/>
        </w:rPr>
        <w:t xml:space="preserve"> </w:t>
      </w:r>
      <w:r w:rsidR="00EC6535" w:rsidRPr="00EC6535">
        <w:rPr>
          <w:rFonts w:eastAsiaTheme="minorEastAsia"/>
          <w:color w:val="000000" w:themeColor="text1"/>
          <w:sz w:val="24"/>
          <w:szCs w:val="24"/>
        </w:rPr>
        <w:t xml:space="preserve">The trajectory of cyber warfare underwent a dramatic shift with the 2015 Office of Personnel Management </w:t>
      </w:r>
      <w:r w:rsidR="00EC6535" w:rsidRPr="00EC6535">
        <w:rPr>
          <w:rFonts w:eastAsiaTheme="minorEastAsia"/>
          <w:color w:val="000000" w:themeColor="text1"/>
          <w:sz w:val="24"/>
          <w:szCs w:val="24"/>
        </w:rPr>
        <w:lastRenderedPageBreak/>
        <w:t>(OPM) breach, which represented a watershed moment in the sophistication and strategic impact of cyber operations. Unlike the targeted military-industrial espionage of Titan Rain, the OPM breach demonstrated unprecedented scope and strategic sophistication in data aggregation and exploitation. According to RAND Corporation's analysis by Harold et al., the breach compromised highly sensitive data including "security clearance records of more than 21 million people,"</w:t>
      </w:r>
      <w:r w:rsidR="00A74D13">
        <w:rPr>
          <w:rStyle w:val="FootnoteReference"/>
          <w:rFonts w:eastAsiaTheme="minorEastAsia"/>
          <w:color w:val="000000" w:themeColor="text1"/>
          <w:sz w:val="24"/>
          <w:szCs w:val="24"/>
        </w:rPr>
        <w:footnoteReference w:id="5"/>
      </w:r>
      <w:r w:rsidR="00EC6535" w:rsidRPr="00EC6535">
        <w:rPr>
          <w:rFonts w:eastAsiaTheme="minorEastAsia"/>
          <w:color w:val="000000" w:themeColor="text1"/>
          <w:sz w:val="24"/>
          <w:szCs w:val="24"/>
        </w:rPr>
        <w:t xml:space="preserve"> encompassing not only federal employees but also contractors and their relatives. The stolen information included Standard Form 86 questionnaires, containing extensive personal and professional history used in background investigations for security clearances. This data provided Chinese intelligence services with detailed insights into U.S. government personnel, their potential vulnerabilities, and their professional networks. The breach's significance extended beyond immediate intelligence value, enabling Chinese operators to potentially identify U.S. intelligence officers, track personnel movements, and construct detailed profiles of federal employees with access to sensitive information. The technical sophistication of the OPM breach marked a significant evolution in cyber warfare capabilities, with attackers maintaining persistent access to OPM networks for several months while carefully extracting massive amounts of data while avoiding detection. The Department of Defense's subsequent analysis revealed that the attackers had employed advanced persistent threat (APT) techniques, including custom malware and sophisticated command-and-control infrastructure, demonstrating a level of technical capability that far surpassed previous operations. This evolution in capabilities forced a fundamental reassessment of U.S. </w:t>
      </w:r>
      <w:r w:rsidR="00EC6535" w:rsidRPr="00EC6535">
        <w:rPr>
          <w:rFonts w:eastAsiaTheme="minorEastAsia"/>
          <w:color w:val="000000" w:themeColor="text1"/>
          <w:sz w:val="24"/>
          <w:szCs w:val="24"/>
        </w:rPr>
        <w:lastRenderedPageBreak/>
        <w:t>cybersecurity posture, particularly regarding the protection of sensitive personnel data and the potential strategic implications of large-scale data breaches.</w:t>
      </w:r>
    </w:p>
    <w:p w14:paraId="39694BDE" w14:textId="53AD76A5" w:rsidR="001B3229" w:rsidRDefault="00FB3DDF" w:rsidP="008402A2">
      <w:pPr>
        <w:spacing w:line="480" w:lineRule="auto"/>
        <w:ind w:firstLine="720"/>
        <w:rPr>
          <w:rFonts w:eastAsiaTheme="minorEastAsia"/>
          <w:color w:val="000000" w:themeColor="text1"/>
          <w:sz w:val="24"/>
          <w:szCs w:val="24"/>
        </w:rPr>
      </w:pPr>
      <w:r w:rsidRPr="00FB3DDF">
        <w:rPr>
          <w:rFonts w:eastAsiaTheme="minorEastAsia"/>
          <w:color w:val="000000" w:themeColor="text1"/>
          <w:sz w:val="24"/>
          <w:szCs w:val="24"/>
        </w:rPr>
        <w:t>Building upon the transformative impact of the OPM breach, Chinese cyber operations</w:t>
      </w:r>
      <w:r w:rsidR="00AD2FA0">
        <w:rPr>
          <w:rStyle w:val="FootnoteReference"/>
          <w:rFonts w:eastAsiaTheme="minorEastAsia"/>
          <w:color w:val="000000" w:themeColor="text1"/>
          <w:sz w:val="24"/>
          <w:szCs w:val="24"/>
        </w:rPr>
        <w:footnoteReference w:id="6"/>
      </w:r>
      <w:r w:rsidRPr="00FB3DDF">
        <w:rPr>
          <w:rFonts w:eastAsiaTheme="minorEastAsia"/>
          <w:color w:val="000000" w:themeColor="text1"/>
          <w:sz w:val="24"/>
          <w:szCs w:val="24"/>
        </w:rPr>
        <w:t xml:space="preserve"> continued to evolve in both sophistication and strategic intent, particularly exemplified by the SolarWinds attack of 2020. The SolarWinds operation represented a fundamental shift in cyber warfare tactics, demonstrating the potential for supply chain compromises to achieve widespread penetration of both government and private sector networks. By compromising the SolarWinds Orion platform, attackers gained access to approximately 18,000 organizations, including multiple U.S. government agencies and Fortune 500 companies. This operation marked a significant evolution from the targeted data theft of the OPM breach, showcasing how cyber operations could leverage trusted software supply chains to achieve unprecedented scale and persistence in target networks. The sophistication of the SolarWinds</w:t>
      </w:r>
      <w:r w:rsidR="003E770C">
        <w:rPr>
          <w:rStyle w:val="FootnoteReference"/>
          <w:rFonts w:eastAsiaTheme="minorEastAsia"/>
          <w:color w:val="000000" w:themeColor="text1"/>
          <w:sz w:val="24"/>
          <w:szCs w:val="24"/>
        </w:rPr>
        <w:footnoteReference w:id="7"/>
      </w:r>
      <w:r w:rsidRPr="00FB3DDF">
        <w:rPr>
          <w:rFonts w:eastAsiaTheme="minorEastAsia"/>
          <w:color w:val="000000" w:themeColor="text1"/>
          <w:sz w:val="24"/>
          <w:szCs w:val="24"/>
        </w:rPr>
        <w:t xml:space="preserve"> attack was particularly evident in its use of novel techniques to evade detection, including carefully crafted malware that remained dormant for extended periods and mimicked legitimate network traffic patterns. This operation highlighted the growing convergence of cyber espionage and potential warfare capabilities, as the level of access achieved could have been leveraged for both intelligence gathering and destructive operations.</w:t>
      </w:r>
      <w:r w:rsidR="001B3229">
        <w:rPr>
          <w:rFonts w:eastAsiaTheme="minorEastAsia"/>
          <w:color w:val="000000" w:themeColor="text1"/>
          <w:sz w:val="24"/>
          <w:szCs w:val="24"/>
        </w:rPr>
        <w:t xml:space="preserve"> </w:t>
      </w:r>
    </w:p>
    <w:p w14:paraId="77C2E428" w14:textId="2E8E0654" w:rsidR="00FA7CC1" w:rsidRDefault="00115F8F" w:rsidP="00FA7CC1">
      <w:pPr>
        <w:spacing w:line="480" w:lineRule="auto"/>
        <w:ind w:firstLine="720"/>
        <w:rPr>
          <w:rFonts w:eastAsiaTheme="minorEastAsia"/>
          <w:color w:val="000000" w:themeColor="text1"/>
          <w:sz w:val="24"/>
          <w:szCs w:val="24"/>
        </w:rPr>
      </w:pPr>
      <w:r w:rsidRPr="00115F8F">
        <w:rPr>
          <w:rFonts w:eastAsiaTheme="minorEastAsia"/>
          <w:color w:val="000000" w:themeColor="text1"/>
          <w:sz w:val="24"/>
          <w:szCs w:val="24"/>
        </w:rPr>
        <w:lastRenderedPageBreak/>
        <w:t>The Department of Defense's response to these evolving threats has centered on the development of more proactive defense mechanisms, particularly through U.S. Cyber Command's "defend forward" doctrine. As articulated by CYBERCOM Commander Paul Nakasone</w:t>
      </w:r>
      <w:r w:rsidR="00ED0FD8">
        <w:rPr>
          <w:rStyle w:val="FootnoteReference"/>
          <w:rFonts w:eastAsiaTheme="minorEastAsia"/>
          <w:color w:val="000000" w:themeColor="text1"/>
          <w:sz w:val="24"/>
          <w:szCs w:val="24"/>
        </w:rPr>
        <w:footnoteReference w:id="8"/>
      </w:r>
      <w:r w:rsidRPr="00115F8F">
        <w:rPr>
          <w:rFonts w:eastAsiaTheme="minorEastAsia"/>
          <w:color w:val="000000" w:themeColor="text1"/>
          <w:sz w:val="24"/>
          <w:szCs w:val="24"/>
        </w:rPr>
        <w:t>, this approach emphasizes the need to engage adversaries in their own networks before attacks can reach U.S. infrastructure. The implementation of "hunt forward" operations in 2020 marked a significant evolution in this strategy, with teams being deployed to proactively search for threats in allied networks. This operational shift represents a fundamental change in how the U.S. military approaches cyber defense, moving from a primarily reactive posture to one that emphasizes persistent engagement with adversaries below the threshold of armed conflict.</w:t>
      </w:r>
      <w:r w:rsidR="0013003C">
        <w:rPr>
          <w:rFonts w:eastAsiaTheme="minorEastAsia"/>
          <w:color w:val="000000" w:themeColor="text1"/>
          <w:sz w:val="24"/>
          <w:szCs w:val="24"/>
        </w:rPr>
        <w:t xml:space="preserve"> </w:t>
      </w:r>
      <w:r w:rsidRPr="00115F8F">
        <w:rPr>
          <w:rFonts w:eastAsiaTheme="minorEastAsia"/>
          <w:color w:val="000000" w:themeColor="text1"/>
          <w:sz w:val="24"/>
          <w:szCs w:val="24"/>
        </w:rPr>
        <w:t xml:space="preserve">The Biden administration's emphasis on "integrated deterrence" further evolved U.S. cyber defense policy, incorporating multiple elements of national power into a comprehensive approach to cyber warfare. This strategy, as analyzed by Lonergan and Schneider, places cyber operations within a broader framework of national security, recognizing the interconnected nature of modern military and civilian networks. The approach emphasizes three key elements: enhanced international cooperation, particularly through the "Five Eyes" alliance; the "defend forward" doctrine authorizing more aggressive defensive measures; and increased resilience through public-private partnerships. These policy shifts reflect growing recognition of the complex nature of cyber threats, particularly regarding critical </w:t>
      </w:r>
      <w:r w:rsidRPr="00115F8F">
        <w:rPr>
          <w:rFonts w:eastAsiaTheme="minorEastAsia"/>
          <w:color w:val="000000" w:themeColor="text1"/>
          <w:sz w:val="24"/>
          <w:szCs w:val="24"/>
        </w:rPr>
        <w:lastRenderedPageBreak/>
        <w:t>infrastructure protection and the need for coordinated responses across national boundaries.</w:t>
      </w:r>
      <w:r w:rsidR="00FA7CC1">
        <w:rPr>
          <w:rFonts w:eastAsiaTheme="minorEastAsia"/>
          <w:color w:val="000000" w:themeColor="text1"/>
          <w:sz w:val="24"/>
          <w:szCs w:val="24"/>
        </w:rPr>
        <w:t xml:space="preserve"> </w:t>
      </w:r>
    </w:p>
    <w:p w14:paraId="2125DE40" w14:textId="0688AB3A" w:rsidR="009755F7" w:rsidRDefault="005D6B5A" w:rsidP="00FA7CC1">
      <w:pPr>
        <w:spacing w:line="480" w:lineRule="auto"/>
        <w:ind w:firstLine="720"/>
        <w:rPr>
          <w:rFonts w:eastAsiaTheme="minorEastAsia"/>
          <w:color w:val="000000" w:themeColor="text1"/>
          <w:sz w:val="24"/>
          <w:szCs w:val="24"/>
        </w:rPr>
      </w:pPr>
      <w:r>
        <w:rPr>
          <w:rFonts w:eastAsiaTheme="minorEastAsia"/>
          <w:color w:val="000000" w:themeColor="text1"/>
          <w:sz w:val="24"/>
          <w:szCs w:val="24"/>
        </w:rPr>
        <w:t>With everything said, t</w:t>
      </w:r>
      <w:r w:rsidR="00FA7CC1" w:rsidRPr="00FA7CC1">
        <w:rPr>
          <w:rFonts w:eastAsiaTheme="minorEastAsia"/>
          <w:color w:val="000000" w:themeColor="text1"/>
          <w:sz w:val="24"/>
          <w:szCs w:val="24"/>
        </w:rPr>
        <w:t xml:space="preserve">he </w:t>
      </w:r>
      <w:r w:rsidR="003B159A">
        <w:rPr>
          <w:rFonts w:eastAsiaTheme="minorEastAsia"/>
          <w:color w:val="000000" w:themeColor="text1"/>
          <w:sz w:val="24"/>
          <w:szCs w:val="24"/>
        </w:rPr>
        <w:t xml:space="preserve">relationship </w:t>
      </w:r>
      <w:proofErr w:type="gramStart"/>
      <w:r w:rsidR="00FA7CC1" w:rsidRPr="00FA7CC1">
        <w:rPr>
          <w:rFonts w:eastAsiaTheme="minorEastAsia"/>
          <w:color w:val="000000" w:themeColor="text1"/>
          <w:sz w:val="24"/>
          <w:szCs w:val="24"/>
        </w:rPr>
        <w:t>of</w:t>
      </w:r>
      <w:proofErr w:type="gramEnd"/>
      <w:r w:rsidR="00FA7CC1" w:rsidRPr="00FA7CC1">
        <w:rPr>
          <w:rFonts w:eastAsiaTheme="minorEastAsia"/>
          <w:color w:val="000000" w:themeColor="text1"/>
          <w:sz w:val="24"/>
          <w:szCs w:val="24"/>
        </w:rPr>
        <w:t xml:space="preserve"> cyber operations and international law represents a critical frontier in modern warfare jurisprudence, challenging traditional legal frameworks that have historically governed armed conflicts. The exponential growth in state-sponsored cyber operations, exemplified by sophisticated campaigns like Volt Typhoon and SolarWinds, has exposed significant gaps in the application of the Law of Armed Conflict (LOAC) to digital warfare. While LOAC's foundational principles</w:t>
      </w:r>
      <w:r>
        <w:rPr>
          <w:rFonts w:eastAsiaTheme="minorEastAsia"/>
          <w:color w:val="000000" w:themeColor="text1"/>
          <w:sz w:val="24"/>
          <w:szCs w:val="24"/>
        </w:rPr>
        <w:t xml:space="preserve"> of </w:t>
      </w:r>
      <w:r w:rsidR="00FA7CC1" w:rsidRPr="00FA7CC1">
        <w:rPr>
          <w:rFonts w:eastAsiaTheme="minorEastAsia"/>
          <w:color w:val="000000" w:themeColor="text1"/>
          <w:sz w:val="24"/>
          <w:szCs w:val="24"/>
        </w:rPr>
        <w:t>distinction, proportionality, and military necessity</w:t>
      </w:r>
      <w:r>
        <w:rPr>
          <w:rFonts w:eastAsiaTheme="minorEastAsia"/>
          <w:color w:val="000000" w:themeColor="text1"/>
          <w:sz w:val="24"/>
          <w:szCs w:val="24"/>
        </w:rPr>
        <w:t xml:space="preserve"> </w:t>
      </w:r>
      <w:r w:rsidR="00FA7CC1" w:rsidRPr="00FA7CC1">
        <w:rPr>
          <w:rFonts w:eastAsiaTheme="minorEastAsia"/>
          <w:color w:val="000000" w:themeColor="text1"/>
          <w:sz w:val="24"/>
          <w:szCs w:val="24"/>
        </w:rPr>
        <w:t>have effectively regulated conventional warfare for decades, their application to cyberspace operations presents unprecedented legal and operational challenges. This complexity stems from the unique characteristics of cyber warfare</w:t>
      </w:r>
      <w:r>
        <w:rPr>
          <w:rFonts w:eastAsiaTheme="minorEastAsia"/>
          <w:color w:val="000000" w:themeColor="text1"/>
          <w:sz w:val="24"/>
          <w:szCs w:val="24"/>
        </w:rPr>
        <w:t xml:space="preserve"> from</w:t>
      </w:r>
      <w:r w:rsidR="00FA7CC1" w:rsidRPr="00FA7CC1">
        <w:rPr>
          <w:rFonts w:eastAsiaTheme="minorEastAsia"/>
          <w:color w:val="000000" w:themeColor="text1"/>
          <w:sz w:val="24"/>
          <w:szCs w:val="24"/>
        </w:rPr>
        <w:t xml:space="preserve"> the invisibility of digital weapons, the interconnectedness of military and civilian infrastructure, and the technical sophistication of attribution evasion techniques.</w:t>
      </w:r>
      <w:r w:rsidR="00CF0CAC">
        <w:rPr>
          <w:rFonts w:eastAsiaTheme="minorEastAsia"/>
          <w:color w:val="000000" w:themeColor="text1"/>
          <w:sz w:val="24"/>
          <w:szCs w:val="24"/>
        </w:rPr>
        <w:t xml:space="preserve"> </w:t>
      </w:r>
      <w:r w:rsidR="00CF0CAC" w:rsidRPr="00CF0CAC">
        <w:rPr>
          <w:rFonts w:eastAsiaTheme="minorEastAsia"/>
          <w:color w:val="000000" w:themeColor="text1"/>
          <w:sz w:val="24"/>
          <w:szCs w:val="24"/>
        </w:rPr>
        <w:t>Under LOAC, the principle of distinction requires military operations to differentiate between combatants and civilians, and between military and civilian infrastructure. However, as demonstrated by the Volt Typhoon campaign, cyber operations often target dual-use infrastructure that serves both military and civilian purposes. CISA's 2024 advisory highlights how these operations specifically targeted critical infrastructure systems that support both civilian services and military operations, making traditional distinctions problematic. The interconnected nature of modern digital infrastructure creates scenarios where attacks on civilian networks can have direct military implications, and vice versa, challenging the traditional application of the distinction principle.</w:t>
      </w:r>
    </w:p>
    <w:p w14:paraId="5649DD79" w14:textId="61C710DE" w:rsidR="00072FC3" w:rsidRDefault="005A3146" w:rsidP="00E500FF">
      <w:pPr>
        <w:spacing w:line="480" w:lineRule="auto"/>
        <w:ind w:firstLine="720"/>
        <w:jc w:val="center"/>
        <w:rPr>
          <w:rFonts w:eastAsiaTheme="minorEastAsia"/>
          <w:color w:val="000000" w:themeColor="text1"/>
          <w:sz w:val="24"/>
          <w:szCs w:val="24"/>
        </w:rPr>
      </w:pPr>
      <w:r>
        <w:rPr>
          <w:rFonts w:eastAsiaTheme="minorEastAsia"/>
          <w:color w:val="000000" w:themeColor="text1"/>
          <w:sz w:val="24"/>
          <w:szCs w:val="24"/>
        </w:rPr>
        <w:lastRenderedPageBreak/>
        <w:t>IV</w:t>
      </w:r>
      <w:proofErr w:type="gramStart"/>
      <w:r>
        <w:rPr>
          <w:rFonts w:eastAsiaTheme="minorEastAsia"/>
          <w:color w:val="000000" w:themeColor="text1"/>
          <w:sz w:val="24"/>
          <w:szCs w:val="24"/>
        </w:rPr>
        <w:t xml:space="preserve">. </w:t>
      </w:r>
      <w:r w:rsidR="00726EF8">
        <w:rPr>
          <w:rFonts w:eastAsiaTheme="minorEastAsia"/>
          <w:color w:val="000000" w:themeColor="text1"/>
          <w:sz w:val="24"/>
          <w:szCs w:val="24"/>
        </w:rPr>
        <w:t xml:space="preserve"> </w:t>
      </w:r>
      <w:r w:rsidR="00072FC3">
        <w:rPr>
          <w:rFonts w:eastAsiaTheme="minorEastAsia"/>
          <w:color w:val="000000" w:themeColor="text1"/>
          <w:sz w:val="24"/>
          <w:szCs w:val="24"/>
        </w:rPr>
        <w:t>Application</w:t>
      </w:r>
      <w:proofErr w:type="gramEnd"/>
      <w:r w:rsidR="00072FC3">
        <w:rPr>
          <w:rFonts w:eastAsiaTheme="minorEastAsia"/>
          <w:color w:val="000000" w:themeColor="text1"/>
          <w:sz w:val="24"/>
          <w:szCs w:val="24"/>
        </w:rPr>
        <w:t xml:space="preserve"> &amp; Practice</w:t>
      </w:r>
    </w:p>
    <w:p w14:paraId="4BB13B5C" w14:textId="0221E40C" w:rsidR="00E500FF" w:rsidRDefault="00140A6D" w:rsidP="00E500FF">
      <w:pPr>
        <w:spacing w:line="480" w:lineRule="auto"/>
        <w:ind w:firstLine="720"/>
        <w:rPr>
          <w:rFonts w:eastAsiaTheme="minorEastAsia"/>
          <w:color w:val="000000" w:themeColor="text1"/>
          <w:sz w:val="24"/>
          <w:szCs w:val="24"/>
        </w:rPr>
      </w:pPr>
      <w:r>
        <w:rPr>
          <w:rFonts w:eastAsiaTheme="minorEastAsia"/>
          <w:color w:val="000000" w:themeColor="text1"/>
          <w:sz w:val="24"/>
          <w:szCs w:val="24"/>
        </w:rPr>
        <w:t xml:space="preserve">What </w:t>
      </w:r>
      <w:r w:rsidRPr="00140A6D">
        <w:rPr>
          <w:rFonts w:eastAsiaTheme="minorEastAsia"/>
          <w:color w:val="000000" w:themeColor="text1"/>
          <w:sz w:val="24"/>
          <w:szCs w:val="24"/>
        </w:rPr>
        <w:t xml:space="preserve">CHERM </w:t>
      </w:r>
      <w:r>
        <w:rPr>
          <w:rFonts w:eastAsiaTheme="minorEastAsia"/>
          <w:color w:val="000000" w:themeColor="text1"/>
          <w:sz w:val="24"/>
          <w:szCs w:val="24"/>
        </w:rPr>
        <w:t xml:space="preserve">aims to </w:t>
      </w:r>
      <w:r w:rsidR="00E500FF" w:rsidRPr="00140A6D">
        <w:rPr>
          <w:rFonts w:eastAsiaTheme="minorEastAsia"/>
          <w:color w:val="000000" w:themeColor="text1"/>
          <w:sz w:val="24"/>
          <w:szCs w:val="24"/>
        </w:rPr>
        <w:t>revolutionize</w:t>
      </w:r>
      <w:r w:rsidRPr="00140A6D">
        <w:rPr>
          <w:rFonts w:eastAsiaTheme="minorEastAsia"/>
          <w:color w:val="000000" w:themeColor="text1"/>
          <w:sz w:val="24"/>
          <w:szCs w:val="24"/>
        </w:rPr>
        <w:t xml:space="preserve"> </w:t>
      </w:r>
      <w:r>
        <w:rPr>
          <w:rFonts w:eastAsiaTheme="minorEastAsia"/>
          <w:color w:val="000000" w:themeColor="text1"/>
          <w:sz w:val="24"/>
          <w:szCs w:val="24"/>
        </w:rPr>
        <w:t xml:space="preserve">is </w:t>
      </w:r>
      <w:r w:rsidRPr="00140A6D">
        <w:rPr>
          <w:rFonts w:eastAsiaTheme="minorEastAsia"/>
          <w:color w:val="000000" w:themeColor="text1"/>
          <w:sz w:val="24"/>
          <w:szCs w:val="24"/>
        </w:rPr>
        <w:t xml:space="preserve">how </w:t>
      </w:r>
      <w:r>
        <w:rPr>
          <w:rFonts w:eastAsiaTheme="minorEastAsia"/>
          <w:color w:val="000000" w:themeColor="text1"/>
          <w:sz w:val="24"/>
          <w:szCs w:val="24"/>
        </w:rPr>
        <w:t>military leaders and policymakers</w:t>
      </w:r>
      <w:r w:rsidRPr="00140A6D">
        <w:rPr>
          <w:rFonts w:eastAsiaTheme="minorEastAsia"/>
          <w:color w:val="000000" w:themeColor="text1"/>
          <w:sz w:val="24"/>
          <w:szCs w:val="24"/>
        </w:rPr>
        <w:t xml:space="preserve"> assess the gravity of cyber-attacks by providing a systematic approach to determine when digital operations cross the threshold into acts of war. </w:t>
      </w:r>
      <w:r>
        <w:rPr>
          <w:rFonts w:eastAsiaTheme="minorEastAsia"/>
          <w:color w:val="000000" w:themeColor="text1"/>
          <w:sz w:val="24"/>
          <w:szCs w:val="24"/>
        </w:rPr>
        <w:t>T</w:t>
      </w:r>
      <w:r w:rsidRPr="00140A6D">
        <w:rPr>
          <w:rFonts w:eastAsiaTheme="minorEastAsia"/>
          <w:color w:val="000000" w:themeColor="text1"/>
          <w:sz w:val="24"/>
          <w:szCs w:val="24"/>
        </w:rPr>
        <w:t>he framework's first and most fundamental component, Criticality</w:t>
      </w:r>
      <w:r>
        <w:rPr>
          <w:rFonts w:eastAsiaTheme="minorEastAsia"/>
          <w:color w:val="000000" w:themeColor="text1"/>
          <w:sz w:val="24"/>
          <w:szCs w:val="24"/>
        </w:rPr>
        <w:t xml:space="preserve">, goes deeper </w:t>
      </w:r>
      <w:r w:rsidRPr="00140A6D">
        <w:rPr>
          <w:rFonts w:eastAsiaTheme="minorEastAsia"/>
          <w:color w:val="000000" w:themeColor="text1"/>
          <w:sz w:val="24"/>
          <w:szCs w:val="24"/>
        </w:rPr>
        <w:t>than traditional infrastructure assessment models. When evaluating Criticality,</w:t>
      </w:r>
      <w:r>
        <w:rPr>
          <w:rFonts w:eastAsiaTheme="minorEastAsia"/>
          <w:color w:val="000000" w:themeColor="text1"/>
          <w:sz w:val="24"/>
          <w:szCs w:val="24"/>
        </w:rPr>
        <w:t xml:space="preserve"> leaders </w:t>
      </w:r>
      <w:r w:rsidRPr="00140A6D">
        <w:rPr>
          <w:rFonts w:eastAsiaTheme="minorEastAsia"/>
          <w:color w:val="000000" w:themeColor="text1"/>
          <w:sz w:val="24"/>
          <w:szCs w:val="24"/>
        </w:rPr>
        <w:t>must consider not just what a system does, but how it interweaves through the fabric of both military and civilian operations.</w:t>
      </w:r>
      <w:r w:rsidR="000140C6">
        <w:rPr>
          <w:rFonts w:eastAsiaTheme="minorEastAsia"/>
          <w:color w:val="000000" w:themeColor="text1"/>
          <w:sz w:val="24"/>
          <w:szCs w:val="24"/>
        </w:rPr>
        <w:t xml:space="preserve"> </w:t>
      </w:r>
      <w:r w:rsidR="000140C6" w:rsidRPr="000140C6">
        <w:rPr>
          <w:rFonts w:eastAsiaTheme="minorEastAsia"/>
          <w:color w:val="000000" w:themeColor="text1"/>
          <w:sz w:val="24"/>
          <w:szCs w:val="24"/>
        </w:rPr>
        <w:t xml:space="preserve">Consider the </w:t>
      </w:r>
      <w:r w:rsidR="000140C6">
        <w:rPr>
          <w:rFonts w:eastAsiaTheme="minorEastAsia"/>
          <w:color w:val="000000" w:themeColor="text1"/>
          <w:sz w:val="24"/>
          <w:szCs w:val="24"/>
        </w:rPr>
        <w:t>aforementioned</w:t>
      </w:r>
      <w:r w:rsidR="000140C6" w:rsidRPr="000140C6">
        <w:rPr>
          <w:rFonts w:eastAsiaTheme="minorEastAsia"/>
          <w:color w:val="000000" w:themeColor="text1"/>
          <w:sz w:val="24"/>
          <w:szCs w:val="24"/>
        </w:rPr>
        <w:t xml:space="preserve"> Volt Typhoon campaign. When Chinese operatives infiltrated U.S. power grid control systems, they weren't just targeting isolated infrastructure</w:t>
      </w:r>
      <w:r w:rsidR="000140C6">
        <w:rPr>
          <w:rFonts w:eastAsiaTheme="minorEastAsia"/>
          <w:color w:val="000000" w:themeColor="text1"/>
          <w:sz w:val="24"/>
          <w:szCs w:val="24"/>
        </w:rPr>
        <w:t>,</w:t>
      </w:r>
      <w:r w:rsidR="000140C6" w:rsidRPr="000140C6">
        <w:rPr>
          <w:rFonts w:eastAsiaTheme="minorEastAsia"/>
          <w:color w:val="000000" w:themeColor="text1"/>
          <w:sz w:val="24"/>
          <w:szCs w:val="24"/>
        </w:rPr>
        <w:t xml:space="preserve"> they were threatening a complex web of interdependent systems. Military bases rely on civilian power grids to maintain readiness. Hospitals need stable electricity for life-support systems. Emergency response centers require uninterrupted power to coordinate disaster relief. </w:t>
      </w:r>
      <w:r w:rsidR="006B6FFE">
        <w:rPr>
          <w:rFonts w:eastAsiaTheme="minorEastAsia"/>
          <w:color w:val="000000" w:themeColor="text1"/>
          <w:sz w:val="24"/>
          <w:szCs w:val="24"/>
        </w:rPr>
        <w:t>Volt Typhoon</w:t>
      </w:r>
      <w:r w:rsidR="000140C6" w:rsidRPr="000140C6">
        <w:rPr>
          <w:rFonts w:eastAsiaTheme="minorEastAsia"/>
          <w:color w:val="000000" w:themeColor="text1"/>
          <w:sz w:val="24"/>
          <w:szCs w:val="24"/>
        </w:rPr>
        <w:t xml:space="preserve"> demonstrated how modern cyber operations can simultaneously endanger national security, public safety, and military capabilities through a single point of compromise.</w:t>
      </w:r>
      <w:r w:rsidR="000140C6">
        <w:rPr>
          <w:rFonts w:eastAsiaTheme="minorEastAsia"/>
          <w:color w:val="000000" w:themeColor="text1"/>
          <w:sz w:val="24"/>
          <w:szCs w:val="24"/>
        </w:rPr>
        <w:t xml:space="preserve"> </w:t>
      </w:r>
      <w:r w:rsidR="000140C6" w:rsidRPr="000140C6">
        <w:rPr>
          <w:rFonts w:eastAsiaTheme="minorEastAsia"/>
          <w:color w:val="000000" w:themeColor="text1"/>
          <w:sz w:val="24"/>
          <w:szCs w:val="24"/>
        </w:rPr>
        <w:t xml:space="preserve">But </w:t>
      </w:r>
      <w:r w:rsidR="00740102">
        <w:rPr>
          <w:rFonts w:eastAsiaTheme="minorEastAsia"/>
          <w:color w:val="000000" w:themeColor="text1"/>
          <w:sz w:val="24"/>
          <w:szCs w:val="24"/>
        </w:rPr>
        <w:t xml:space="preserve">the </w:t>
      </w:r>
      <w:r w:rsidR="000140C6" w:rsidRPr="000140C6">
        <w:rPr>
          <w:rFonts w:eastAsiaTheme="minorEastAsia"/>
          <w:color w:val="000000" w:themeColor="text1"/>
          <w:sz w:val="24"/>
          <w:szCs w:val="24"/>
        </w:rPr>
        <w:t xml:space="preserve">Criticality assessment goes even further. Military commanders must map out intricate dependency chains that might not be obvious at first glance. For instance, when Volt Typhoon compromised power grid control systems, they also gained potential access to the industrial control systems managing water treatment facilities that supply military installations. The same networks often connect to transportation infrastructure that the military relies on for logistics and deployment. Critical communication systems, from emergency services to military command and control, all depend on the power grid's stability. This web of dependencies means a </w:t>
      </w:r>
      <w:r w:rsidR="000140C6" w:rsidRPr="000140C6">
        <w:rPr>
          <w:rFonts w:eastAsiaTheme="minorEastAsia"/>
          <w:color w:val="000000" w:themeColor="text1"/>
          <w:sz w:val="24"/>
          <w:szCs w:val="24"/>
        </w:rPr>
        <w:lastRenderedPageBreak/>
        <w:t>sophisticated attack on power infrastructure could cascade into disruptions of military communications, degradation of base operations, and even compromise of classified systems that rely on civilian power infrastructure for backup systems.</w:t>
      </w:r>
      <w:r w:rsidR="00740102">
        <w:rPr>
          <w:rFonts w:eastAsiaTheme="minorEastAsia"/>
          <w:color w:val="000000" w:themeColor="text1"/>
          <w:sz w:val="24"/>
          <w:szCs w:val="24"/>
        </w:rPr>
        <w:t xml:space="preserve"> </w:t>
      </w:r>
      <w:r w:rsidR="00740102" w:rsidRPr="00740102">
        <w:rPr>
          <w:rFonts w:eastAsiaTheme="minorEastAsia"/>
          <w:color w:val="000000" w:themeColor="text1"/>
          <w:sz w:val="24"/>
          <w:szCs w:val="24"/>
        </w:rPr>
        <w:t xml:space="preserve">These interconnected vulnerabilities highlight why Criticality must be evaluated through a lens that captures both immediate and downstream effects. </w:t>
      </w:r>
      <w:r w:rsidR="00740102">
        <w:rPr>
          <w:rFonts w:eastAsiaTheme="minorEastAsia"/>
          <w:color w:val="000000" w:themeColor="text1"/>
          <w:sz w:val="24"/>
          <w:szCs w:val="24"/>
        </w:rPr>
        <w:t>Leaders</w:t>
      </w:r>
      <w:r w:rsidR="00740102" w:rsidRPr="00740102">
        <w:rPr>
          <w:rFonts w:eastAsiaTheme="minorEastAsia"/>
          <w:color w:val="000000" w:themeColor="text1"/>
          <w:sz w:val="24"/>
          <w:szCs w:val="24"/>
        </w:rPr>
        <w:t xml:space="preserve"> need to understand not just the primary target, but how its compromise could ripple through connected systems, potentially paralyzing multiple critical sectors simultaneously. </w:t>
      </w:r>
      <w:r w:rsidR="00740102">
        <w:rPr>
          <w:rFonts w:eastAsiaTheme="minorEastAsia"/>
          <w:color w:val="000000" w:themeColor="text1"/>
          <w:sz w:val="24"/>
          <w:szCs w:val="24"/>
        </w:rPr>
        <w:t xml:space="preserve"> </w:t>
      </w:r>
      <w:r w:rsidR="00D77A8F">
        <w:rPr>
          <w:rFonts w:eastAsiaTheme="minorEastAsia"/>
          <w:color w:val="000000" w:themeColor="text1"/>
          <w:sz w:val="24"/>
          <w:szCs w:val="24"/>
        </w:rPr>
        <w:t xml:space="preserve"> </w:t>
      </w:r>
      <w:r w:rsidR="00E500FF">
        <w:rPr>
          <w:rFonts w:eastAsiaTheme="minorEastAsia"/>
          <w:color w:val="000000" w:themeColor="text1"/>
          <w:sz w:val="24"/>
          <w:szCs w:val="24"/>
        </w:rPr>
        <w:t xml:space="preserve"> </w:t>
      </w:r>
    </w:p>
    <w:p w14:paraId="1E8977D0" w14:textId="1447240D" w:rsidR="00D77A8F" w:rsidRDefault="00E500FF" w:rsidP="00E500FF">
      <w:pPr>
        <w:spacing w:line="480" w:lineRule="auto"/>
        <w:ind w:firstLine="720"/>
        <w:rPr>
          <w:rFonts w:eastAsiaTheme="minorEastAsia"/>
          <w:color w:val="000000" w:themeColor="text1"/>
          <w:sz w:val="24"/>
          <w:szCs w:val="24"/>
        </w:rPr>
      </w:pPr>
      <w:r w:rsidRPr="00E500FF">
        <w:rPr>
          <w:rFonts w:eastAsiaTheme="minorEastAsia"/>
          <w:color w:val="000000" w:themeColor="text1"/>
          <w:sz w:val="24"/>
          <w:szCs w:val="24"/>
        </w:rPr>
        <w:t>The second pillar of CHERM, Harm Potential, transforms how military leaders assess cyber damage by looking far beyond the immediate digital impact. Traditional military damage assessments often focus on direct, observable effects - a destroyed tank, a disabled radar system, or a disrupted communication network. But in cyberspace, the most devastating impacts often emerge gradually, rippling outward in ways that may not be apparent for years or even decades.</w:t>
      </w:r>
      <w:r w:rsidR="00980DBE">
        <w:rPr>
          <w:rFonts w:eastAsiaTheme="minorEastAsia"/>
          <w:color w:val="000000" w:themeColor="text1"/>
          <w:sz w:val="24"/>
          <w:szCs w:val="24"/>
        </w:rPr>
        <w:t xml:space="preserve"> </w:t>
      </w:r>
      <w:r w:rsidR="00980DBE" w:rsidRPr="00980DBE">
        <w:rPr>
          <w:rFonts w:eastAsiaTheme="minorEastAsia"/>
          <w:color w:val="000000" w:themeColor="text1"/>
          <w:sz w:val="24"/>
          <w:szCs w:val="24"/>
        </w:rPr>
        <w:t xml:space="preserve">The 2015 OPM breach stands as a stark illustration of this expanded concept of harm. When attackers exfiltrated 21.5 million personnel records, they didn't just steal </w:t>
      </w:r>
      <w:r w:rsidR="00980DBE">
        <w:rPr>
          <w:rFonts w:eastAsiaTheme="minorEastAsia"/>
          <w:color w:val="000000" w:themeColor="text1"/>
          <w:sz w:val="24"/>
          <w:szCs w:val="24"/>
        </w:rPr>
        <w:t>ordinary data. T</w:t>
      </w:r>
      <w:r w:rsidR="00980DBE" w:rsidRPr="00980DBE">
        <w:rPr>
          <w:rFonts w:eastAsiaTheme="minorEastAsia"/>
          <w:color w:val="000000" w:themeColor="text1"/>
          <w:sz w:val="24"/>
          <w:szCs w:val="24"/>
        </w:rPr>
        <w:t>hey acquired</w:t>
      </w:r>
      <w:r w:rsidR="00980DBE">
        <w:rPr>
          <w:rFonts w:eastAsiaTheme="minorEastAsia"/>
          <w:color w:val="000000" w:themeColor="text1"/>
          <w:sz w:val="24"/>
          <w:szCs w:val="24"/>
        </w:rPr>
        <w:t xml:space="preserve"> essentially what was</w:t>
      </w:r>
      <w:r w:rsidR="00980DBE" w:rsidRPr="00980DBE">
        <w:rPr>
          <w:rFonts w:eastAsiaTheme="minorEastAsia"/>
          <w:color w:val="000000" w:themeColor="text1"/>
          <w:sz w:val="24"/>
          <w:szCs w:val="24"/>
        </w:rPr>
        <w:t xml:space="preserve"> a comprehensive blueprint of America's national security workforce. Each SF-86 stolen form was a detailed personal dossier, containing information about security clearance holders' finances, medical histories, family relationships, foreign contacts, and even psychological profiles. </w:t>
      </w:r>
      <w:r w:rsidR="00980DBE">
        <w:rPr>
          <w:rFonts w:eastAsiaTheme="minorEastAsia"/>
          <w:color w:val="000000" w:themeColor="text1"/>
          <w:sz w:val="24"/>
          <w:szCs w:val="24"/>
        </w:rPr>
        <w:t xml:space="preserve">This wasn’t just a data breach. This </w:t>
      </w:r>
      <w:r w:rsidR="00980DBE" w:rsidRPr="00980DBE">
        <w:rPr>
          <w:rFonts w:eastAsiaTheme="minorEastAsia"/>
          <w:color w:val="000000" w:themeColor="text1"/>
          <w:sz w:val="24"/>
          <w:szCs w:val="24"/>
        </w:rPr>
        <w:t>was the compromise of human infrastructure that forms the backbone of U.S. national security.</w:t>
      </w:r>
      <w:r w:rsidR="0028542C">
        <w:rPr>
          <w:rFonts w:eastAsiaTheme="minorEastAsia"/>
          <w:color w:val="000000" w:themeColor="text1"/>
          <w:sz w:val="24"/>
          <w:szCs w:val="24"/>
        </w:rPr>
        <w:t xml:space="preserve"> </w:t>
      </w:r>
      <w:r w:rsidR="0028542C" w:rsidRPr="0028542C">
        <w:rPr>
          <w:rFonts w:eastAsiaTheme="minorEastAsia"/>
          <w:color w:val="000000" w:themeColor="text1"/>
          <w:sz w:val="24"/>
          <w:szCs w:val="24"/>
        </w:rPr>
        <w:t>Moreover, the harm extends beyond individual vulnerabilities. Armed with detailed knowledge of security clearance holders' roles and relationships, adversaries c</w:t>
      </w:r>
      <w:r w:rsidR="0028542C">
        <w:rPr>
          <w:rFonts w:eastAsiaTheme="minorEastAsia"/>
          <w:color w:val="000000" w:themeColor="text1"/>
          <w:sz w:val="24"/>
          <w:szCs w:val="24"/>
        </w:rPr>
        <w:t>ould</w:t>
      </w:r>
      <w:r w:rsidR="0028542C" w:rsidRPr="0028542C">
        <w:rPr>
          <w:rFonts w:eastAsiaTheme="minorEastAsia"/>
          <w:color w:val="000000" w:themeColor="text1"/>
          <w:sz w:val="24"/>
          <w:szCs w:val="24"/>
        </w:rPr>
        <w:t xml:space="preserve"> map out entire organizational structures within </w:t>
      </w:r>
      <w:r w:rsidR="0028542C" w:rsidRPr="0028542C">
        <w:rPr>
          <w:rFonts w:eastAsiaTheme="minorEastAsia"/>
          <w:color w:val="000000" w:themeColor="text1"/>
          <w:sz w:val="24"/>
          <w:szCs w:val="24"/>
        </w:rPr>
        <w:lastRenderedPageBreak/>
        <w:t>sensitive government agencies. They can identify key decision-makers, track career progressions, and understand the personal networks that connect different parts of the national security apparatus. This comprehensive understanding enables increasingly sophisticated targeting - from spear-phishing campaigns tailored to specific individuals' interests to elaborate influence operations designed to exploit known personal or professional pressure points.</w:t>
      </w:r>
      <w:r w:rsidR="00413AFF">
        <w:rPr>
          <w:rFonts w:eastAsiaTheme="minorEastAsia"/>
          <w:color w:val="000000" w:themeColor="text1"/>
          <w:sz w:val="24"/>
          <w:szCs w:val="24"/>
        </w:rPr>
        <w:t xml:space="preserve"> </w:t>
      </w:r>
      <w:r w:rsidR="00413AFF" w:rsidRPr="00413AFF">
        <w:rPr>
          <w:rFonts w:eastAsiaTheme="minorEastAsia"/>
          <w:color w:val="000000" w:themeColor="text1"/>
          <w:sz w:val="24"/>
          <w:szCs w:val="24"/>
        </w:rPr>
        <w:t>The time dimension of Harm Potential is particularly crucial in cases like the OPM breach. Unlike a conventional military strike where damage is immediately apparent, the harmful effects of this data compromise could surface years or decades later. A junior analyst whose information was stolen in 2015 might become a senior intelligence official in 2025, carrying forward vulnerabilities that were seeded years earlier. Personal information about family members and associates creates generational vulnerabilities that could affect national security long after the initial breach is discovered.</w:t>
      </w:r>
    </w:p>
    <w:p w14:paraId="0811033A" w14:textId="77777777" w:rsidR="00080EE4" w:rsidRDefault="004157AD" w:rsidP="00080EE4">
      <w:pPr>
        <w:spacing w:line="480" w:lineRule="auto"/>
        <w:ind w:firstLine="720"/>
        <w:rPr>
          <w:rFonts w:eastAsiaTheme="minorEastAsia"/>
          <w:color w:val="000000" w:themeColor="text1"/>
          <w:sz w:val="24"/>
          <w:szCs w:val="24"/>
        </w:rPr>
      </w:pPr>
      <w:r>
        <w:rPr>
          <w:rFonts w:eastAsiaTheme="minorEastAsia"/>
          <w:color w:val="000000" w:themeColor="text1"/>
          <w:sz w:val="24"/>
          <w:szCs w:val="24"/>
        </w:rPr>
        <w:t>I</w:t>
      </w:r>
      <w:r w:rsidRPr="004157AD">
        <w:rPr>
          <w:rFonts w:eastAsiaTheme="minorEastAsia"/>
          <w:color w:val="000000" w:themeColor="text1"/>
          <w:sz w:val="24"/>
          <w:szCs w:val="24"/>
        </w:rPr>
        <w:t xml:space="preserve">n the </w:t>
      </w:r>
      <w:r>
        <w:rPr>
          <w:rFonts w:eastAsiaTheme="minorEastAsia"/>
          <w:color w:val="000000" w:themeColor="text1"/>
          <w:sz w:val="24"/>
          <w:szCs w:val="24"/>
        </w:rPr>
        <w:t xml:space="preserve">modern </w:t>
      </w:r>
      <w:r w:rsidRPr="004157AD">
        <w:rPr>
          <w:rFonts w:eastAsiaTheme="minorEastAsia"/>
          <w:color w:val="000000" w:themeColor="text1"/>
          <w:sz w:val="24"/>
          <w:szCs w:val="24"/>
        </w:rPr>
        <w:t>digital battlefield, identifying your adversary requires a fundamentally different approach than traditional military operations</w:t>
      </w:r>
      <w:r>
        <w:rPr>
          <w:rFonts w:eastAsiaTheme="minorEastAsia"/>
          <w:color w:val="000000" w:themeColor="text1"/>
          <w:sz w:val="24"/>
          <w:szCs w:val="24"/>
        </w:rPr>
        <w:t>. Y</w:t>
      </w:r>
      <w:r w:rsidRPr="004157AD">
        <w:rPr>
          <w:rFonts w:eastAsiaTheme="minorEastAsia"/>
          <w:color w:val="000000" w:themeColor="text1"/>
          <w:sz w:val="24"/>
          <w:szCs w:val="24"/>
        </w:rPr>
        <w:t>ou can't simply spot enemy uniforms or track tank formations</w:t>
      </w:r>
      <w:r>
        <w:rPr>
          <w:rFonts w:eastAsiaTheme="minorEastAsia"/>
          <w:color w:val="000000" w:themeColor="text1"/>
          <w:sz w:val="24"/>
          <w:szCs w:val="24"/>
        </w:rPr>
        <w:t xml:space="preserve"> through a screen</w:t>
      </w:r>
      <w:r w:rsidRPr="004157AD">
        <w:rPr>
          <w:rFonts w:eastAsiaTheme="minorEastAsia"/>
          <w:color w:val="000000" w:themeColor="text1"/>
          <w:sz w:val="24"/>
          <w:szCs w:val="24"/>
        </w:rPr>
        <w:t>. This is where CHERM's Evident Attribution component breaks ground by weaving together multiple threads of evidence to create a clear picture of responsibility, even when attackers try to hide in the shadow</w:t>
      </w:r>
      <w:r>
        <w:rPr>
          <w:rFonts w:eastAsiaTheme="minorEastAsia"/>
          <w:color w:val="000000" w:themeColor="text1"/>
          <w:sz w:val="24"/>
          <w:szCs w:val="24"/>
        </w:rPr>
        <w:t>s.</w:t>
      </w:r>
      <w:r w:rsidR="00665630">
        <w:rPr>
          <w:rFonts w:eastAsiaTheme="minorEastAsia"/>
          <w:color w:val="000000" w:themeColor="text1"/>
          <w:sz w:val="24"/>
          <w:szCs w:val="24"/>
        </w:rPr>
        <w:t xml:space="preserve"> </w:t>
      </w:r>
      <w:r w:rsidR="00665630" w:rsidRPr="00665630">
        <w:rPr>
          <w:rFonts w:eastAsiaTheme="minorEastAsia"/>
          <w:color w:val="000000" w:themeColor="text1"/>
          <w:sz w:val="24"/>
          <w:szCs w:val="24"/>
        </w:rPr>
        <w:t>The Titan Rain campaign serves as a masterclass in modern cyber attribution. When Shawn Carpenter first began unraveling these attacks at Lockheed Martin, he discovered a sophisticated operation that was anything but random. The attackers followed precise patterns - they would strike during business hours in China's time zone, using the same three routers in Guangdong province as their staging ground</w:t>
      </w:r>
      <w:r w:rsidR="00665630">
        <w:rPr>
          <w:rFonts w:eastAsiaTheme="minorEastAsia"/>
          <w:color w:val="000000" w:themeColor="text1"/>
          <w:sz w:val="24"/>
          <w:szCs w:val="24"/>
        </w:rPr>
        <w:t xml:space="preserve">. </w:t>
      </w:r>
      <w:r w:rsidR="00665630" w:rsidRPr="00665630">
        <w:rPr>
          <w:rFonts w:eastAsiaTheme="minorEastAsia"/>
          <w:color w:val="000000" w:themeColor="text1"/>
          <w:sz w:val="24"/>
          <w:szCs w:val="24"/>
        </w:rPr>
        <w:t xml:space="preserve">Each intrusion carried distinct </w:t>
      </w:r>
      <w:r w:rsidR="00665630" w:rsidRPr="00665630">
        <w:rPr>
          <w:rFonts w:eastAsiaTheme="minorEastAsia"/>
          <w:color w:val="000000" w:themeColor="text1"/>
          <w:sz w:val="24"/>
          <w:szCs w:val="24"/>
        </w:rPr>
        <w:lastRenderedPageBreak/>
        <w:t>technical signatures, from the way attackers commandeered hidden sections of hard drives to their unique methods of compressing and transmitting stolen files.</w:t>
      </w:r>
      <w:r w:rsidR="001B6683">
        <w:rPr>
          <w:rFonts w:eastAsiaTheme="minorEastAsia"/>
          <w:color w:val="000000" w:themeColor="text1"/>
          <w:sz w:val="24"/>
          <w:szCs w:val="24"/>
        </w:rPr>
        <w:t xml:space="preserve"> </w:t>
      </w:r>
      <w:r w:rsidR="001B6683" w:rsidRPr="001B6683">
        <w:rPr>
          <w:rFonts w:eastAsiaTheme="minorEastAsia"/>
          <w:color w:val="000000" w:themeColor="text1"/>
          <w:sz w:val="24"/>
          <w:szCs w:val="24"/>
        </w:rPr>
        <w:t xml:space="preserve">But technical evidence alone isn't enough. CHERM’s approach examines operations </w:t>
      </w:r>
      <w:r w:rsidR="001B6683">
        <w:rPr>
          <w:rFonts w:eastAsiaTheme="minorEastAsia"/>
          <w:color w:val="000000" w:themeColor="text1"/>
          <w:sz w:val="24"/>
          <w:szCs w:val="24"/>
        </w:rPr>
        <w:t xml:space="preserve">by looking </w:t>
      </w:r>
      <w:r w:rsidR="001B6683" w:rsidRPr="001B6683">
        <w:rPr>
          <w:rFonts w:eastAsiaTheme="minorEastAsia"/>
          <w:color w:val="000000" w:themeColor="text1"/>
          <w:sz w:val="24"/>
          <w:szCs w:val="24"/>
        </w:rPr>
        <w:t>for patterns that reveal the attacker's identity. In Titan Rain, investigators noticed the attackers displayed military-grade discipline in their operations. They followed strict protocols, maintained consistent working hours, and demonstrated levels of coordination that pointed to state sponsorship rather than independent hackers.</w:t>
      </w:r>
      <w:r w:rsidR="001B6683">
        <w:rPr>
          <w:rFonts w:eastAsiaTheme="minorEastAsia"/>
          <w:color w:val="000000" w:themeColor="text1"/>
          <w:sz w:val="24"/>
          <w:szCs w:val="24"/>
        </w:rPr>
        <w:t xml:space="preserve"> </w:t>
      </w:r>
      <w:r w:rsidR="00DF7792">
        <w:rPr>
          <w:rFonts w:eastAsiaTheme="minorEastAsia"/>
          <w:color w:val="000000" w:themeColor="text1"/>
          <w:sz w:val="24"/>
          <w:szCs w:val="24"/>
        </w:rPr>
        <w:t xml:space="preserve"> </w:t>
      </w:r>
      <w:r w:rsidR="00DF7792" w:rsidRPr="00DF7792">
        <w:rPr>
          <w:rFonts w:eastAsiaTheme="minorEastAsia"/>
          <w:color w:val="000000" w:themeColor="text1"/>
          <w:sz w:val="24"/>
          <w:szCs w:val="24"/>
        </w:rPr>
        <w:t xml:space="preserve">Most importantly, CHERM's attribution framework acknowledges that certainty in cyberspace exists on a spectrum. Instead of demanding smoking-gun evidence, it builds a case through the convergence of multiple indicators. </w:t>
      </w:r>
      <w:r w:rsidR="00DF7792">
        <w:rPr>
          <w:rFonts w:eastAsiaTheme="minorEastAsia"/>
          <w:color w:val="000000" w:themeColor="text1"/>
          <w:sz w:val="24"/>
          <w:szCs w:val="24"/>
        </w:rPr>
        <w:t xml:space="preserve">While </w:t>
      </w:r>
      <w:r w:rsidR="00DF7792" w:rsidRPr="00DF7792">
        <w:rPr>
          <w:rFonts w:eastAsiaTheme="minorEastAsia"/>
          <w:color w:val="000000" w:themeColor="text1"/>
          <w:sz w:val="24"/>
          <w:szCs w:val="24"/>
        </w:rPr>
        <w:t>any single piece might be circumstantial, the combined weight of technical forensics, operational patterns, and strategic analysis can establish responsibility beyond reasonable doubt.</w:t>
      </w:r>
      <w:r w:rsidR="00080EE4">
        <w:rPr>
          <w:rFonts w:eastAsiaTheme="minorEastAsia"/>
          <w:color w:val="000000" w:themeColor="text1"/>
          <w:sz w:val="24"/>
          <w:szCs w:val="24"/>
        </w:rPr>
        <w:t xml:space="preserve"> </w:t>
      </w:r>
    </w:p>
    <w:p w14:paraId="27133F04" w14:textId="1DB56E5D" w:rsidR="004157AD" w:rsidRDefault="00080EE4" w:rsidP="00080EE4">
      <w:pPr>
        <w:spacing w:line="480" w:lineRule="auto"/>
        <w:ind w:firstLine="720"/>
        <w:rPr>
          <w:rFonts w:eastAsiaTheme="minorEastAsia"/>
          <w:color w:val="000000" w:themeColor="text1"/>
          <w:sz w:val="24"/>
          <w:szCs w:val="24"/>
        </w:rPr>
      </w:pPr>
      <w:r w:rsidRPr="00080EE4">
        <w:rPr>
          <w:rFonts w:eastAsiaTheme="minorEastAsia"/>
          <w:color w:val="000000" w:themeColor="text1"/>
          <w:sz w:val="24"/>
          <w:szCs w:val="24"/>
        </w:rPr>
        <w:t>The Response Necessity element of CHERM revolutionizes how military commanders decide when and how forcefully to strike back in cyberspace. Unlike conventional warfare, where the decision to return fire might be immediate and clear-cut, cyber operations require a more nuanced calculus of response options.</w:t>
      </w:r>
      <w:r>
        <w:rPr>
          <w:rFonts w:eastAsiaTheme="minorEastAsia"/>
          <w:color w:val="000000" w:themeColor="text1"/>
          <w:sz w:val="24"/>
          <w:szCs w:val="24"/>
        </w:rPr>
        <w:t xml:space="preserve"> </w:t>
      </w:r>
      <w:r w:rsidRPr="00080EE4">
        <w:rPr>
          <w:rFonts w:eastAsiaTheme="minorEastAsia"/>
          <w:color w:val="000000" w:themeColor="text1"/>
          <w:sz w:val="24"/>
          <w:szCs w:val="24"/>
        </w:rPr>
        <w:t>Consider CYBERCOM's "hunt forward"</w:t>
      </w:r>
      <w:r w:rsidR="003E770C">
        <w:rPr>
          <w:rStyle w:val="FootnoteReference"/>
          <w:rFonts w:eastAsiaTheme="minorEastAsia"/>
          <w:color w:val="000000" w:themeColor="text1"/>
          <w:sz w:val="24"/>
          <w:szCs w:val="24"/>
        </w:rPr>
        <w:footnoteReference w:id="9"/>
      </w:r>
      <w:r w:rsidRPr="00080EE4">
        <w:rPr>
          <w:rFonts w:eastAsiaTheme="minorEastAsia"/>
          <w:color w:val="000000" w:themeColor="text1"/>
          <w:sz w:val="24"/>
          <w:szCs w:val="24"/>
        </w:rPr>
        <w:t xml:space="preserve"> strategy </w:t>
      </w:r>
      <w:r>
        <w:rPr>
          <w:rFonts w:eastAsiaTheme="minorEastAsia"/>
          <w:color w:val="000000" w:themeColor="text1"/>
          <w:sz w:val="24"/>
          <w:szCs w:val="24"/>
        </w:rPr>
        <w:t>(</w:t>
      </w:r>
      <w:r w:rsidRPr="00080EE4">
        <w:rPr>
          <w:rFonts w:eastAsiaTheme="minorEastAsia"/>
          <w:color w:val="000000" w:themeColor="text1"/>
          <w:sz w:val="24"/>
          <w:szCs w:val="24"/>
        </w:rPr>
        <w:t>a perfect example</w:t>
      </w:r>
      <w:r>
        <w:rPr>
          <w:rFonts w:eastAsiaTheme="minorEastAsia"/>
          <w:color w:val="000000" w:themeColor="text1"/>
          <w:sz w:val="24"/>
          <w:szCs w:val="24"/>
        </w:rPr>
        <w:t>)</w:t>
      </w:r>
      <w:r w:rsidRPr="00080EE4">
        <w:rPr>
          <w:rFonts w:eastAsiaTheme="minorEastAsia"/>
          <w:color w:val="000000" w:themeColor="text1"/>
          <w:sz w:val="24"/>
          <w:szCs w:val="24"/>
        </w:rPr>
        <w:t xml:space="preserve"> of this modern approach. Rather than immediately launching </w:t>
      </w:r>
      <w:proofErr w:type="gramStart"/>
      <w:r w:rsidRPr="00080EE4">
        <w:rPr>
          <w:rFonts w:eastAsiaTheme="minorEastAsia"/>
          <w:color w:val="000000" w:themeColor="text1"/>
          <w:sz w:val="24"/>
          <w:szCs w:val="24"/>
        </w:rPr>
        <w:t>counter-attacks</w:t>
      </w:r>
      <w:proofErr w:type="gramEnd"/>
      <w:r w:rsidRPr="00080EE4">
        <w:rPr>
          <w:rFonts w:eastAsiaTheme="minorEastAsia"/>
          <w:color w:val="000000" w:themeColor="text1"/>
          <w:sz w:val="24"/>
          <w:szCs w:val="24"/>
        </w:rPr>
        <w:t xml:space="preserve"> when threats emerge, teams </w:t>
      </w:r>
      <w:r w:rsidR="00504260" w:rsidRPr="00080EE4">
        <w:rPr>
          <w:rFonts w:eastAsiaTheme="minorEastAsia"/>
          <w:color w:val="000000" w:themeColor="text1"/>
          <w:sz w:val="24"/>
          <w:szCs w:val="24"/>
        </w:rPr>
        <w:t>deploy</w:t>
      </w:r>
      <w:r w:rsidRPr="00080EE4">
        <w:rPr>
          <w:rFonts w:eastAsiaTheme="minorEastAsia"/>
          <w:color w:val="000000" w:themeColor="text1"/>
          <w:sz w:val="24"/>
          <w:szCs w:val="24"/>
        </w:rPr>
        <w:t xml:space="preserve"> allied networks to gather intelligence and establish early warning systems. This proactive stance allows commanders to scale their response based on the evolving threat landscape. </w:t>
      </w:r>
      <w:r w:rsidRPr="00080EE4">
        <w:rPr>
          <w:rFonts w:eastAsiaTheme="minorEastAsia"/>
          <w:color w:val="000000" w:themeColor="text1"/>
          <w:sz w:val="24"/>
          <w:szCs w:val="24"/>
        </w:rPr>
        <w:lastRenderedPageBreak/>
        <w:t>Sometimes, the best response isn't a cyber-attack at all. Diplomatic pressure, economic sanctions, or criminal investigations might prove more effective at deterring future aggression.</w:t>
      </w:r>
      <w:r>
        <w:rPr>
          <w:rFonts w:eastAsiaTheme="minorEastAsia"/>
          <w:color w:val="000000" w:themeColor="text1"/>
          <w:sz w:val="24"/>
          <w:szCs w:val="24"/>
        </w:rPr>
        <w:t xml:space="preserve"> </w:t>
      </w:r>
      <w:r w:rsidR="00634EB5">
        <w:rPr>
          <w:rFonts w:eastAsiaTheme="minorEastAsia"/>
          <w:color w:val="000000" w:themeColor="text1"/>
          <w:sz w:val="24"/>
          <w:szCs w:val="24"/>
        </w:rPr>
        <w:t xml:space="preserve"> </w:t>
      </w:r>
      <w:r w:rsidR="00634EB5" w:rsidRPr="00634EB5">
        <w:rPr>
          <w:rFonts w:eastAsiaTheme="minorEastAsia"/>
          <w:color w:val="000000" w:themeColor="text1"/>
          <w:sz w:val="24"/>
          <w:szCs w:val="24"/>
        </w:rPr>
        <w:t>Yet CHERM also recognizes scenarios where rapid military action becomes crucial. When Volt Typhoon penetrated critical infrastructure systems, the potential for catastrophic damage demanded immediate military intervention to prevent escalation. The framework helps commanders weigh factors like the attack's severity, potential for escalation, and time sensitivity against the full spectrum of available responses. For example, if attackers breach nuclear power plant control systems, the need for immediate military cyber response outweighs slower diplomatic options. CHERM guides leaders in calibrating these responses – from deploying defensive cyber teams to executing targeted counter-operations – while ensuring all actions remain proportional to the threat and aligned with international law.</w:t>
      </w:r>
      <w:r w:rsidR="00634EB5">
        <w:rPr>
          <w:rFonts w:eastAsiaTheme="minorEastAsia"/>
          <w:color w:val="000000" w:themeColor="text1"/>
          <w:sz w:val="24"/>
          <w:szCs w:val="24"/>
        </w:rPr>
        <w:t xml:space="preserve"> </w:t>
      </w:r>
    </w:p>
    <w:p w14:paraId="1C16F55E" w14:textId="2BC2F12A" w:rsidR="00A933D8" w:rsidRDefault="00A933D8" w:rsidP="00080EE4">
      <w:pPr>
        <w:spacing w:line="480" w:lineRule="auto"/>
        <w:ind w:firstLine="720"/>
        <w:rPr>
          <w:rFonts w:eastAsiaTheme="minorEastAsia"/>
          <w:color w:val="000000" w:themeColor="text1"/>
          <w:sz w:val="24"/>
          <w:szCs w:val="24"/>
        </w:rPr>
      </w:pPr>
      <w:r w:rsidRPr="00A933D8">
        <w:rPr>
          <w:rFonts w:eastAsiaTheme="minorEastAsia"/>
          <w:color w:val="000000" w:themeColor="text1"/>
          <w:sz w:val="24"/>
          <w:szCs w:val="24"/>
        </w:rPr>
        <w:t xml:space="preserve">The fifth pillar of CHERM, Magnitude of Intent, </w:t>
      </w:r>
      <w:r>
        <w:rPr>
          <w:rFonts w:eastAsiaTheme="minorEastAsia"/>
          <w:color w:val="000000" w:themeColor="text1"/>
          <w:sz w:val="24"/>
          <w:szCs w:val="24"/>
        </w:rPr>
        <w:t xml:space="preserve">views </w:t>
      </w:r>
      <w:r w:rsidRPr="00A933D8">
        <w:rPr>
          <w:rFonts w:eastAsiaTheme="minorEastAsia"/>
          <w:color w:val="000000" w:themeColor="text1"/>
          <w:sz w:val="24"/>
          <w:szCs w:val="24"/>
        </w:rPr>
        <w:t xml:space="preserve">how military commanders decode the true purposes behind cyber operations. </w:t>
      </w:r>
      <w:r>
        <w:rPr>
          <w:rFonts w:eastAsiaTheme="minorEastAsia"/>
          <w:color w:val="000000" w:themeColor="text1"/>
          <w:sz w:val="24"/>
          <w:szCs w:val="24"/>
        </w:rPr>
        <w:t xml:space="preserve">This </w:t>
      </w:r>
      <w:r w:rsidRPr="00A933D8">
        <w:rPr>
          <w:rFonts w:eastAsiaTheme="minorEastAsia"/>
          <w:color w:val="000000" w:themeColor="text1"/>
          <w:sz w:val="24"/>
          <w:szCs w:val="24"/>
        </w:rPr>
        <w:t>component requires leaders to look beyond surface-level attacks to uncover the deeper strategic objectives that drive them.</w:t>
      </w:r>
      <w:r w:rsidR="007B15DF">
        <w:rPr>
          <w:rFonts w:eastAsiaTheme="minorEastAsia"/>
          <w:color w:val="000000" w:themeColor="text1"/>
          <w:sz w:val="24"/>
          <w:szCs w:val="24"/>
        </w:rPr>
        <w:t xml:space="preserve"> </w:t>
      </w:r>
      <w:r w:rsidR="007B15DF" w:rsidRPr="007B15DF">
        <w:rPr>
          <w:rFonts w:eastAsiaTheme="minorEastAsia"/>
          <w:color w:val="000000" w:themeColor="text1"/>
          <w:sz w:val="24"/>
          <w:szCs w:val="24"/>
        </w:rPr>
        <w:t>CHERM teaches commanders to evaluate intent through multiple lenses. Technical sophistication serves as one crucial indicator</w:t>
      </w:r>
      <w:r w:rsidR="007B15DF">
        <w:rPr>
          <w:rFonts w:eastAsiaTheme="minorEastAsia"/>
          <w:color w:val="000000" w:themeColor="text1"/>
          <w:sz w:val="24"/>
          <w:szCs w:val="24"/>
        </w:rPr>
        <w:t>. W</w:t>
      </w:r>
      <w:r w:rsidR="007B15DF" w:rsidRPr="007B15DF">
        <w:rPr>
          <w:rFonts w:eastAsiaTheme="minorEastAsia"/>
          <w:color w:val="000000" w:themeColor="text1"/>
          <w:sz w:val="24"/>
          <w:szCs w:val="24"/>
        </w:rPr>
        <w:t>hen attackers employ advanced persistent access techniques or custom-built malware, it suggests state-level resources and long-term strategic planning. Target selection offers another vital clue</w:t>
      </w:r>
      <w:r w:rsidR="007B15DF">
        <w:rPr>
          <w:rFonts w:eastAsiaTheme="minorEastAsia"/>
          <w:color w:val="000000" w:themeColor="text1"/>
          <w:sz w:val="24"/>
          <w:szCs w:val="24"/>
        </w:rPr>
        <w:t>. T</w:t>
      </w:r>
      <w:r w:rsidR="007B15DF" w:rsidRPr="007B15DF">
        <w:rPr>
          <w:rFonts w:eastAsiaTheme="minorEastAsia"/>
          <w:color w:val="000000" w:themeColor="text1"/>
          <w:sz w:val="24"/>
          <w:szCs w:val="24"/>
        </w:rPr>
        <w:t>he difference between criminals seeking quick financial gain and state actors methodically mapping critical infrastructure for future operations. Operational persistence also speaks volumes</w:t>
      </w:r>
      <w:r w:rsidR="007B15DF">
        <w:rPr>
          <w:rFonts w:eastAsiaTheme="minorEastAsia"/>
          <w:color w:val="000000" w:themeColor="text1"/>
          <w:sz w:val="24"/>
          <w:szCs w:val="24"/>
        </w:rPr>
        <w:t>. W</w:t>
      </w:r>
      <w:r w:rsidR="007B15DF" w:rsidRPr="007B15DF">
        <w:rPr>
          <w:rFonts w:eastAsiaTheme="minorEastAsia"/>
          <w:color w:val="000000" w:themeColor="text1"/>
          <w:sz w:val="24"/>
          <w:szCs w:val="24"/>
        </w:rPr>
        <w:t>hile cybercriminals typically strike quickly</w:t>
      </w:r>
      <w:r w:rsidR="00B37479">
        <w:rPr>
          <w:rFonts w:eastAsiaTheme="minorEastAsia"/>
          <w:color w:val="000000" w:themeColor="text1"/>
          <w:sz w:val="24"/>
          <w:szCs w:val="24"/>
        </w:rPr>
        <w:t xml:space="preserve"> (smash and grab)</w:t>
      </w:r>
      <w:r w:rsidR="007B15DF" w:rsidRPr="007B15DF">
        <w:rPr>
          <w:rFonts w:eastAsiaTheme="minorEastAsia"/>
          <w:color w:val="000000" w:themeColor="text1"/>
          <w:sz w:val="24"/>
          <w:szCs w:val="24"/>
        </w:rPr>
        <w:t xml:space="preserve"> and withdraw, state-sponsored </w:t>
      </w:r>
      <w:r w:rsidR="007B15DF" w:rsidRPr="007B15DF">
        <w:rPr>
          <w:rFonts w:eastAsiaTheme="minorEastAsia"/>
          <w:color w:val="000000" w:themeColor="text1"/>
          <w:sz w:val="24"/>
          <w:szCs w:val="24"/>
        </w:rPr>
        <w:lastRenderedPageBreak/>
        <w:t xml:space="preserve">actors maintain long-term presence, </w:t>
      </w:r>
      <w:r w:rsidR="00B37479">
        <w:rPr>
          <w:rFonts w:eastAsiaTheme="minorEastAsia"/>
          <w:color w:val="000000" w:themeColor="text1"/>
          <w:sz w:val="24"/>
          <w:szCs w:val="24"/>
        </w:rPr>
        <w:t xml:space="preserve">sinking their tentacles inside critical infrastructure, </w:t>
      </w:r>
      <w:r w:rsidR="007B15DF" w:rsidRPr="007B15DF">
        <w:rPr>
          <w:rFonts w:eastAsiaTheme="minorEastAsia"/>
          <w:color w:val="000000" w:themeColor="text1"/>
          <w:sz w:val="24"/>
          <w:szCs w:val="24"/>
        </w:rPr>
        <w:t>suggesting preparation for future operations.</w:t>
      </w:r>
      <w:r w:rsidR="007B15DF">
        <w:rPr>
          <w:rFonts w:eastAsiaTheme="minorEastAsia"/>
          <w:color w:val="000000" w:themeColor="text1"/>
          <w:sz w:val="24"/>
          <w:szCs w:val="24"/>
        </w:rPr>
        <w:t xml:space="preserve"> </w:t>
      </w:r>
    </w:p>
    <w:p w14:paraId="05CEE4D5" w14:textId="01AEEDC8" w:rsidR="00B55CAE" w:rsidRDefault="00B55CAE" w:rsidP="00B55CAE">
      <w:pPr>
        <w:spacing w:line="480" w:lineRule="auto"/>
        <w:ind w:firstLine="720"/>
        <w:jc w:val="center"/>
        <w:rPr>
          <w:rFonts w:eastAsiaTheme="minorEastAsia"/>
          <w:color w:val="000000" w:themeColor="text1"/>
          <w:sz w:val="24"/>
          <w:szCs w:val="24"/>
        </w:rPr>
      </w:pPr>
      <w:r>
        <w:rPr>
          <w:rFonts w:eastAsiaTheme="minorEastAsia"/>
          <w:color w:val="000000" w:themeColor="text1"/>
          <w:sz w:val="24"/>
          <w:szCs w:val="24"/>
        </w:rPr>
        <w:t>V</w:t>
      </w:r>
      <w:r w:rsidRPr="00B55CAE">
        <w:rPr>
          <w:rFonts w:eastAsiaTheme="minorEastAsia"/>
          <w:color w:val="000000" w:themeColor="text1"/>
          <w:sz w:val="24"/>
          <w:szCs w:val="24"/>
        </w:rPr>
        <w:t xml:space="preserve">. </w:t>
      </w:r>
      <w:r>
        <w:rPr>
          <w:rFonts w:eastAsiaTheme="minorEastAsia"/>
          <w:color w:val="000000" w:themeColor="text1"/>
          <w:sz w:val="24"/>
          <w:szCs w:val="24"/>
        </w:rPr>
        <w:t xml:space="preserve"> Structure &amp; Balance</w:t>
      </w:r>
    </w:p>
    <w:p w14:paraId="3A844E40" w14:textId="55685A08" w:rsidR="00ED19C0" w:rsidRPr="00C576F7" w:rsidRDefault="00ED19C0" w:rsidP="00080EE4">
      <w:pPr>
        <w:spacing w:line="480" w:lineRule="auto"/>
        <w:ind w:firstLine="720"/>
        <w:rPr>
          <w:rFonts w:eastAsiaTheme="minorEastAsia"/>
          <w:color w:val="000000" w:themeColor="text1"/>
          <w:sz w:val="24"/>
          <w:szCs w:val="24"/>
        </w:rPr>
      </w:pPr>
      <w:r>
        <w:rPr>
          <w:rFonts w:eastAsiaTheme="minorEastAsia"/>
          <w:color w:val="000000" w:themeColor="text1"/>
          <w:sz w:val="24"/>
          <w:szCs w:val="24"/>
        </w:rPr>
        <w:t xml:space="preserve">What </w:t>
      </w:r>
      <w:r w:rsidR="00B55CAE">
        <w:rPr>
          <w:rFonts w:eastAsiaTheme="minorEastAsia"/>
          <w:color w:val="000000" w:themeColor="text1"/>
          <w:sz w:val="24"/>
          <w:szCs w:val="24"/>
        </w:rPr>
        <w:t xml:space="preserve">the </w:t>
      </w:r>
      <w:r w:rsidRPr="00ED19C0">
        <w:rPr>
          <w:rFonts w:eastAsiaTheme="minorEastAsia"/>
          <w:color w:val="000000" w:themeColor="text1"/>
          <w:sz w:val="24"/>
          <w:szCs w:val="24"/>
        </w:rPr>
        <w:t xml:space="preserve">CHERM framework represents </w:t>
      </w:r>
      <w:r>
        <w:rPr>
          <w:rFonts w:eastAsiaTheme="minorEastAsia"/>
          <w:color w:val="000000" w:themeColor="text1"/>
          <w:sz w:val="24"/>
          <w:szCs w:val="24"/>
        </w:rPr>
        <w:t xml:space="preserve">is a needed evolution in </w:t>
      </w:r>
      <w:r w:rsidRPr="00ED19C0">
        <w:rPr>
          <w:rFonts w:eastAsiaTheme="minorEastAsia"/>
          <w:color w:val="000000" w:themeColor="text1"/>
          <w:sz w:val="24"/>
          <w:szCs w:val="24"/>
        </w:rPr>
        <w:t xml:space="preserve">military doctrine, </w:t>
      </w:r>
      <w:r>
        <w:rPr>
          <w:rFonts w:eastAsiaTheme="minorEastAsia"/>
          <w:color w:val="000000" w:themeColor="text1"/>
          <w:sz w:val="24"/>
          <w:szCs w:val="24"/>
        </w:rPr>
        <w:t xml:space="preserve">something to </w:t>
      </w:r>
      <w:r w:rsidRPr="00ED19C0">
        <w:rPr>
          <w:rFonts w:eastAsiaTheme="minorEastAsia"/>
          <w:color w:val="000000" w:themeColor="text1"/>
          <w:sz w:val="24"/>
          <w:szCs w:val="24"/>
        </w:rPr>
        <w:t>provid</w:t>
      </w:r>
      <w:r>
        <w:rPr>
          <w:rFonts w:eastAsiaTheme="minorEastAsia"/>
          <w:color w:val="000000" w:themeColor="text1"/>
          <w:sz w:val="24"/>
          <w:szCs w:val="24"/>
        </w:rPr>
        <w:t>e</w:t>
      </w:r>
      <w:r w:rsidRPr="00ED19C0">
        <w:rPr>
          <w:rFonts w:eastAsiaTheme="minorEastAsia"/>
          <w:color w:val="000000" w:themeColor="text1"/>
          <w:sz w:val="24"/>
          <w:szCs w:val="24"/>
        </w:rPr>
        <w:t xml:space="preserve"> commanders with a structured methodology to navigate the </w:t>
      </w:r>
      <w:r>
        <w:rPr>
          <w:rFonts w:eastAsiaTheme="minorEastAsia"/>
          <w:color w:val="000000" w:themeColor="text1"/>
          <w:sz w:val="24"/>
          <w:szCs w:val="24"/>
        </w:rPr>
        <w:t xml:space="preserve">dynamics </w:t>
      </w:r>
      <w:r w:rsidRPr="00ED19C0">
        <w:rPr>
          <w:rFonts w:eastAsiaTheme="minorEastAsia"/>
          <w:color w:val="000000" w:themeColor="text1"/>
          <w:sz w:val="24"/>
          <w:szCs w:val="24"/>
        </w:rPr>
        <w:t>of cyber warfare. As demonstrated through analysis of operations from Titan Rain to Volt Typhoon, the framework's five components - Criticality, Harm Potential, Evident Attribution, Response Necessity, and Magnitude of Intent - offer a comprehensive approach to classifying cyber operations as acts of war.</w:t>
      </w:r>
      <w:r w:rsidR="007A1B1E">
        <w:rPr>
          <w:rFonts w:eastAsiaTheme="minorEastAsia"/>
          <w:color w:val="000000" w:themeColor="text1"/>
          <w:sz w:val="24"/>
          <w:szCs w:val="24"/>
        </w:rPr>
        <w:t xml:space="preserve">  </w:t>
      </w:r>
      <w:r w:rsidR="00B55CAE">
        <w:rPr>
          <w:rFonts w:eastAsiaTheme="minorEastAsia"/>
          <w:color w:val="000000" w:themeColor="text1"/>
          <w:sz w:val="24"/>
          <w:szCs w:val="24"/>
        </w:rPr>
        <w:t>CHERM’s</w:t>
      </w:r>
      <w:r w:rsidR="007A1B1E" w:rsidRPr="007A1B1E">
        <w:rPr>
          <w:rFonts w:eastAsiaTheme="minorEastAsia"/>
          <w:color w:val="000000" w:themeColor="text1"/>
          <w:sz w:val="24"/>
          <w:szCs w:val="24"/>
        </w:rPr>
        <w:t xml:space="preserve"> </w:t>
      </w:r>
      <w:r w:rsidR="001D4128" w:rsidRPr="007A1B1E">
        <w:rPr>
          <w:rFonts w:eastAsiaTheme="minorEastAsia"/>
          <w:color w:val="000000" w:themeColor="text1"/>
          <w:sz w:val="24"/>
          <w:szCs w:val="24"/>
        </w:rPr>
        <w:t>value</w:t>
      </w:r>
      <w:r w:rsidR="007A1B1E" w:rsidRPr="007A1B1E">
        <w:rPr>
          <w:rFonts w:eastAsiaTheme="minorEastAsia"/>
          <w:color w:val="000000" w:themeColor="text1"/>
          <w:sz w:val="24"/>
          <w:szCs w:val="24"/>
        </w:rPr>
        <w:t xml:space="preserve"> lies in its ability to adapt to evolving threats while maintaining consistent evaluation criteria. When Chinese operators progressed from targeting military contractors in Titan Rain to compromising critical infrastructure through Volt Typhoon, CHERM's components effectively captured this strategic escalation. The OPM breach demonstrated how Harm Potential must consider long-term strategic implications, while SolarWinds revealed the importance of evaluating supply chain vulnerabilities under Criticality assessment.</w:t>
      </w:r>
      <w:r w:rsidR="007A1B1E">
        <w:rPr>
          <w:rFonts w:eastAsiaTheme="minorEastAsia"/>
          <w:color w:val="000000" w:themeColor="text1"/>
          <w:sz w:val="24"/>
          <w:szCs w:val="24"/>
        </w:rPr>
        <w:t xml:space="preserve"> </w:t>
      </w:r>
      <w:r w:rsidR="007A1B1E" w:rsidRPr="007A1B1E">
        <w:rPr>
          <w:rFonts w:eastAsiaTheme="minorEastAsia"/>
          <w:color w:val="000000" w:themeColor="text1"/>
          <w:sz w:val="24"/>
          <w:szCs w:val="24"/>
        </w:rPr>
        <w:t xml:space="preserve">Looking forward, the CHERM framework offers a foundation for future policy development as cyber and conventional warfare continue to converge. </w:t>
      </w:r>
      <w:r w:rsidR="00B55CAE">
        <w:rPr>
          <w:rFonts w:eastAsiaTheme="minorEastAsia"/>
          <w:color w:val="000000" w:themeColor="text1"/>
          <w:sz w:val="24"/>
          <w:szCs w:val="24"/>
        </w:rPr>
        <w:t>CHERM’s</w:t>
      </w:r>
      <w:r w:rsidR="007A1B1E" w:rsidRPr="007A1B1E">
        <w:rPr>
          <w:rFonts w:eastAsiaTheme="minorEastAsia"/>
          <w:color w:val="000000" w:themeColor="text1"/>
          <w:sz w:val="24"/>
          <w:szCs w:val="24"/>
        </w:rPr>
        <w:t xml:space="preserve"> flexible yet rigorous approach enables military leaders to adapt to new attack vectors while maintaining consistent evaluation standards. As state-sponsored cyber operations grow increasingly sophisticated, CHERM provides </w:t>
      </w:r>
      <w:r w:rsidR="00B55CAE">
        <w:rPr>
          <w:rFonts w:eastAsiaTheme="minorEastAsia"/>
          <w:color w:val="000000" w:themeColor="text1"/>
          <w:sz w:val="24"/>
          <w:szCs w:val="24"/>
        </w:rPr>
        <w:t xml:space="preserve">a verbose structured methodology </w:t>
      </w:r>
      <w:r w:rsidR="007A1B1E" w:rsidRPr="007A1B1E">
        <w:rPr>
          <w:rFonts w:eastAsiaTheme="minorEastAsia"/>
          <w:color w:val="000000" w:themeColor="text1"/>
          <w:sz w:val="24"/>
          <w:szCs w:val="24"/>
        </w:rPr>
        <w:t>for protecting American digital infrastructure and maintaining strategic deterrence in the cyber domain.</w:t>
      </w:r>
    </w:p>
    <w:sectPr w:rsidR="00ED19C0" w:rsidRPr="00C576F7" w:rsidSect="009E33A0">
      <w:head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E8AB8" w14:textId="77777777" w:rsidR="00562F00" w:rsidRDefault="00562F00" w:rsidP="00C22739">
      <w:pPr>
        <w:spacing w:after="0" w:line="240" w:lineRule="auto"/>
      </w:pPr>
      <w:r>
        <w:separator/>
      </w:r>
    </w:p>
  </w:endnote>
  <w:endnote w:type="continuationSeparator" w:id="0">
    <w:p w14:paraId="5D0A96D8" w14:textId="77777777" w:rsidR="00562F00" w:rsidRDefault="00562F00" w:rsidP="00C22739">
      <w:pPr>
        <w:spacing w:after="0" w:line="240" w:lineRule="auto"/>
      </w:pPr>
      <w:r>
        <w:continuationSeparator/>
      </w:r>
    </w:p>
  </w:endnote>
  <w:endnote w:type="continuationNotice" w:id="1">
    <w:p w14:paraId="78796B27" w14:textId="77777777" w:rsidR="00562F00" w:rsidRDefault="00562F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51636" w14:textId="77777777" w:rsidR="00562F00" w:rsidRDefault="00562F00" w:rsidP="00C22739">
      <w:pPr>
        <w:spacing w:after="0" w:line="240" w:lineRule="auto"/>
      </w:pPr>
      <w:r>
        <w:separator/>
      </w:r>
    </w:p>
  </w:footnote>
  <w:footnote w:type="continuationSeparator" w:id="0">
    <w:p w14:paraId="7D513EE0" w14:textId="77777777" w:rsidR="00562F00" w:rsidRDefault="00562F00" w:rsidP="00C22739">
      <w:pPr>
        <w:spacing w:after="0" w:line="240" w:lineRule="auto"/>
      </w:pPr>
      <w:r>
        <w:continuationSeparator/>
      </w:r>
    </w:p>
  </w:footnote>
  <w:footnote w:type="continuationNotice" w:id="1">
    <w:p w14:paraId="0371798E" w14:textId="77777777" w:rsidR="00562F00" w:rsidRDefault="00562F00">
      <w:pPr>
        <w:spacing w:after="0" w:line="240" w:lineRule="auto"/>
      </w:pPr>
    </w:p>
  </w:footnote>
  <w:footnote w:id="2">
    <w:p w14:paraId="2A4A8D2B" w14:textId="77777777" w:rsidR="003D6DA5" w:rsidRPr="003D6DA5" w:rsidRDefault="003D6DA5" w:rsidP="003D6DA5">
      <w:pPr>
        <w:pStyle w:val="FootnoteText"/>
      </w:pPr>
      <w:r>
        <w:rPr>
          <w:rStyle w:val="FootnoteReference"/>
        </w:rPr>
        <w:footnoteRef/>
      </w:r>
      <w:r>
        <w:t xml:space="preserve"> </w:t>
      </w:r>
      <w:r w:rsidRPr="003D6DA5">
        <w:t>“PRC State-Sponsored Actors Compromise and Maintain Persistent Access to U.S. Critical Infrastructure | CISA,”</w:t>
      </w:r>
    </w:p>
    <w:p w14:paraId="664A4475" w14:textId="0916679E" w:rsidR="003D6DA5" w:rsidRDefault="003D6DA5">
      <w:pPr>
        <w:pStyle w:val="FootnoteText"/>
      </w:pPr>
    </w:p>
  </w:footnote>
  <w:footnote w:id="3">
    <w:p w14:paraId="2CF0776A" w14:textId="634B77C7" w:rsidR="003D0E8D" w:rsidRDefault="003D0E8D">
      <w:pPr>
        <w:pStyle w:val="FootnoteText"/>
      </w:pPr>
      <w:r>
        <w:rPr>
          <w:rStyle w:val="FootnoteReference"/>
        </w:rPr>
        <w:footnoteRef/>
      </w:r>
      <w:r>
        <w:t xml:space="preserve"> </w:t>
      </w:r>
      <w:r w:rsidRPr="003D0E8D">
        <w:t xml:space="preserve">Thornburgh, N. (2005, August 29). The invasion of the </w:t>
      </w:r>
      <w:r w:rsidRPr="003D0E8D">
        <w:t xml:space="preserve">chinese cyberspies. TIME. </w:t>
      </w:r>
    </w:p>
  </w:footnote>
  <w:footnote w:id="4">
    <w:p w14:paraId="44DD1187" w14:textId="3E709C5E" w:rsidR="00A10096" w:rsidRDefault="00A10096">
      <w:pPr>
        <w:pStyle w:val="FootnoteText"/>
      </w:pPr>
      <w:r>
        <w:rPr>
          <w:rStyle w:val="FootnoteReference"/>
        </w:rPr>
        <w:footnoteRef/>
      </w:r>
      <w:r>
        <w:t xml:space="preserve"> Ibid</w:t>
      </w:r>
    </w:p>
  </w:footnote>
  <w:footnote w:id="5">
    <w:p w14:paraId="670FB591" w14:textId="660AAD6F" w:rsidR="00A74D13" w:rsidRDefault="00A74D13">
      <w:pPr>
        <w:pStyle w:val="FootnoteText"/>
      </w:pPr>
      <w:r>
        <w:rPr>
          <w:rStyle w:val="FootnoteReference"/>
        </w:rPr>
        <w:footnoteRef/>
      </w:r>
      <w:r>
        <w:t xml:space="preserve"> </w:t>
      </w:r>
      <w:r w:rsidRPr="00A74D13">
        <w:t>Harold et al., "The Cyber Problem in U.S.-China Relations," RAND Corporation, 2016, p. 9-10</w:t>
      </w:r>
      <w:r>
        <w:t xml:space="preserve"> </w:t>
      </w:r>
    </w:p>
  </w:footnote>
  <w:footnote w:id="6">
    <w:p w14:paraId="40AD71C8" w14:textId="06CAAD76" w:rsidR="00AD2FA0" w:rsidRDefault="00AD2FA0">
      <w:pPr>
        <w:pStyle w:val="FootnoteText"/>
      </w:pPr>
      <w:r>
        <w:rPr>
          <w:rStyle w:val="FootnoteReference"/>
        </w:rPr>
        <w:footnoteRef/>
      </w:r>
      <w:r>
        <w:t xml:space="preserve"> </w:t>
      </w:r>
      <w:r w:rsidRPr="00AD2FA0">
        <w:t>China’s Emerging Cyber Governance System | China Cyber Outlook | CSIS.” Accessed October 24, 2024.</w:t>
      </w:r>
    </w:p>
  </w:footnote>
  <w:footnote w:id="7">
    <w:p w14:paraId="2F6A7E04" w14:textId="40A1C9E6" w:rsidR="003E770C" w:rsidRDefault="003E770C">
      <w:pPr>
        <w:pStyle w:val="FootnoteText"/>
      </w:pPr>
      <w:r>
        <w:rPr>
          <w:rStyle w:val="FootnoteReference"/>
        </w:rPr>
        <w:footnoteRef/>
      </w:r>
      <w:r>
        <w:t xml:space="preserve"> </w:t>
      </w:r>
      <w:r w:rsidRPr="003E770C">
        <w:t>“PRC State-Sponsored Actors Compromise and Maintain Persistent Access to U.S. Critical Infrastructure | CISA,”</w:t>
      </w:r>
    </w:p>
  </w:footnote>
  <w:footnote w:id="8">
    <w:p w14:paraId="04155988" w14:textId="77777777" w:rsidR="00ED0FD8" w:rsidRPr="00ED0FD8" w:rsidRDefault="00ED0FD8" w:rsidP="00ED0FD8">
      <w:pPr>
        <w:pStyle w:val="FootnoteText"/>
      </w:pPr>
      <w:r>
        <w:rPr>
          <w:rStyle w:val="FootnoteReference"/>
        </w:rPr>
        <w:footnoteRef/>
      </w:r>
      <w:r>
        <w:t xml:space="preserve"> </w:t>
      </w:r>
      <w:r w:rsidRPr="00ED0FD8">
        <w:t>Lonergan and Schneider, "The Power of Beliefs in US Cyber Strategy," Journal of Cybersecurity, 2023, p. 2.</w:t>
      </w:r>
    </w:p>
    <w:p w14:paraId="19959F68" w14:textId="4218579A" w:rsidR="00ED0FD8" w:rsidRDefault="00ED0FD8">
      <w:pPr>
        <w:pStyle w:val="FootnoteText"/>
      </w:pPr>
    </w:p>
  </w:footnote>
  <w:footnote w:id="9">
    <w:p w14:paraId="192FDAF5" w14:textId="137DDEE9" w:rsidR="003E770C" w:rsidRDefault="003E770C">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72757"/>
      <w:docPartObj>
        <w:docPartGallery w:val="Page Numbers (Top of Page)"/>
        <w:docPartUnique/>
      </w:docPartObj>
    </w:sdtPr>
    <w:sdtEndPr>
      <w:rPr>
        <w:noProof/>
      </w:rPr>
    </w:sdtEndPr>
    <w:sdtContent>
      <w:p w14:paraId="72DAF62C" w14:textId="3518518E" w:rsidR="009003D6" w:rsidRDefault="009003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BC6886E" w14:textId="77777777" w:rsidR="00C22739" w:rsidRDefault="00C227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E7011"/>
    <w:multiLevelType w:val="hybridMultilevel"/>
    <w:tmpl w:val="9926D7A0"/>
    <w:lvl w:ilvl="0" w:tplc="006A3CD2">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3EA3234D"/>
    <w:multiLevelType w:val="hybridMultilevel"/>
    <w:tmpl w:val="6E0E87EA"/>
    <w:lvl w:ilvl="0" w:tplc="0A14DBB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E387C0C"/>
    <w:multiLevelType w:val="hybridMultilevel"/>
    <w:tmpl w:val="ADC636CA"/>
    <w:lvl w:ilvl="0" w:tplc="006681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9035859">
    <w:abstractNumId w:val="1"/>
  </w:num>
  <w:num w:numId="2" w16cid:durableId="276643807">
    <w:abstractNumId w:val="0"/>
  </w:num>
  <w:num w:numId="3" w16cid:durableId="1464620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B9"/>
    <w:rsid w:val="00001D0C"/>
    <w:rsid w:val="00003614"/>
    <w:rsid w:val="00013FDC"/>
    <w:rsid w:val="000140C6"/>
    <w:rsid w:val="000146E2"/>
    <w:rsid w:val="00050CE9"/>
    <w:rsid w:val="0005734B"/>
    <w:rsid w:val="00060334"/>
    <w:rsid w:val="00066842"/>
    <w:rsid w:val="000676C2"/>
    <w:rsid w:val="00067DEB"/>
    <w:rsid w:val="00072FC3"/>
    <w:rsid w:val="00075EF7"/>
    <w:rsid w:val="00080EE4"/>
    <w:rsid w:val="0008626E"/>
    <w:rsid w:val="00091E4C"/>
    <w:rsid w:val="000A2FB0"/>
    <w:rsid w:val="000A7C72"/>
    <w:rsid w:val="000B19AB"/>
    <w:rsid w:val="000B366A"/>
    <w:rsid w:val="000B53E5"/>
    <w:rsid w:val="000C1396"/>
    <w:rsid w:val="000C1F78"/>
    <w:rsid w:val="000D25E6"/>
    <w:rsid w:val="000F0BC1"/>
    <w:rsid w:val="000F3430"/>
    <w:rsid w:val="00110794"/>
    <w:rsid w:val="00115F8F"/>
    <w:rsid w:val="0013003C"/>
    <w:rsid w:val="00131D52"/>
    <w:rsid w:val="00133FE7"/>
    <w:rsid w:val="00135DE0"/>
    <w:rsid w:val="001406C5"/>
    <w:rsid w:val="00140A6D"/>
    <w:rsid w:val="00140CA0"/>
    <w:rsid w:val="00142081"/>
    <w:rsid w:val="00142B57"/>
    <w:rsid w:val="00146EB1"/>
    <w:rsid w:val="00150318"/>
    <w:rsid w:val="00153859"/>
    <w:rsid w:val="00154BFD"/>
    <w:rsid w:val="00165593"/>
    <w:rsid w:val="001964AF"/>
    <w:rsid w:val="001B3229"/>
    <w:rsid w:val="001B536F"/>
    <w:rsid w:val="001B6683"/>
    <w:rsid w:val="001C1416"/>
    <w:rsid w:val="001C3D76"/>
    <w:rsid w:val="001C4ADE"/>
    <w:rsid w:val="001D1F3A"/>
    <w:rsid w:val="001D4128"/>
    <w:rsid w:val="001D4E5B"/>
    <w:rsid w:val="001E314E"/>
    <w:rsid w:val="00210011"/>
    <w:rsid w:val="002204B1"/>
    <w:rsid w:val="0023746B"/>
    <w:rsid w:val="002375D2"/>
    <w:rsid w:val="00277725"/>
    <w:rsid w:val="00281C73"/>
    <w:rsid w:val="00283759"/>
    <w:rsid w:val="0028542C"/>
    <w:rsid w:val="00297237"/>
    <w:rsid w:val="002B60DC"/>
    <w:rsid w:val="002C2C9D"/>
    <w:rsid w:val="002D5180"/>
    <w:rsid w:val="002E334C"/>
    <w:rsid w:val="002F36F8"/>
    <w:rsid w:val="002F476C"/>
    <w:rsid w:val="003007C7"/>
    <w:rsid w:val="0030561F"/>
    <w:rsid w:val="00320B5D"/>
    <w:rsid w:val="003276B5"/>
    <w:rsid w:val="003360F9"/>
    <w:rsid w:val="00345F47"/>
    <w:rsid w:val="00346E09"/>
    <w:rsid w:val="0039373E"/>
    <w:rsid w:val="00394200"/>
    <w:rsid w:val="003A1369"/>
    <w:rsid w:val="003B0343"/>
    <w:rsid w:val="003B159A"/>
    <w:rsid w:val="003C1881"/>
    <w:rsid w:val="003D092B"/>
    <w:rsid w:val="003D0E8D"/>
    <w:rsid w:val="003D23EA"/>
    <w:rsid w:val="003D53A3"/>
    <w:rsid w:val="003D6DA5"/>
    <w:rsid w:val="003E1FF1"/>
    <w:rsid w:val="003E7038"/>
    <w:rsid w:val="003E770C"/>
    <w:rsid w:val="003F143E"/>
    <w:rsid w:val="003F1EF5"/>
    <w:rsid w:val="003F1F7D"/>
    <w:rsid w:val="003F20EA"/>
    <w:rsid w:val="003F5395"/>
    <w:rsid w:val="003F70CF"/>
    <w:rsid w:val="00400D86"/>
    <w:rsid w:val="00403CDF"/>
    <w:rsid w:val="00406880"/>
    <w:rsid w:val="00413504"/>
    <w:rsid w:val="00413AFF"/>
    <w:rsid w:val="004157AD"/>
    <w:rsid w:val="00437B77"/>
    <w:rsid w:val="004528E9"/>
    <w:rsid w:val="0045544B"/>
    <w:rsid w:val="00461030"/>
    <w:rsid w:val="00463F16"/>
    <w:rsid w:val="004673FA"/>
    <w:rsid w:val="004816B6"/>
    <w:rsid w:val="00487237"/>
    <w:rsid w:val="00496AA9"/>
    <w:rsid w:val="004A2F02"/>
    <w:rsid w:val="004A3F64"/>
    <w:rsid w:val="004C3A0F"/>
    <w:rsid w:val="004D7883"/>
    <w:rsid w:val="004D78B3"/>
    <w:rsid w:val="004E13B2"/>
    <w:rsid w:val="004E499F"/>
    <w:rsid w:val="004E57B7"/>
    <w:rsid w:val="004F0C5A"/>
    <w:rsid w:val="004F5A77"/>
    <w:rsid w:val="005025BC"/>
    <w:rsid w:val="00504260"/>
    <w:rsid w:val="00504522"/>
    <w:rsid w:val="0050512B"/>
    <w:rsid w:val="00506C16"/>
    <w:rsid w:val="005111AD"/>
    <w:rsid w:val="0051387A"/>
    <w:rsid w:val="00514157"/>
    <w:rsid w:val="00515199"/>
    <w:rsid w:val="00541B11"/>
    <w:rsid w:val="00562F00"/>
    <w:rsid w:val="00565E19"/>
    <w:rsid w:val="00571324"/>
    <w:rsid w:val="00574A50"/>
    <w:rsid w:val="00576F78"/>
    <w:rsid w:val="005809FE"/>
    <w:rsid w:val="00587E25"/>
    <w:rsid w:val="005A112A"/>
    <w:rsid w:val="005A3146"/>
    <w:rsid w:val="005A3FA9"/>
    <w:rsid w:val="005A57ED"/>
    <w:rsid w:val="005A6136"/>
    <w:rsid w:val="005A7C6D"/>
    <w:rsid w:val="005A7D2C"/>
    <w:rsid w:val="005B3A3F"/>
    <w:rsid w:val="005B66F5"/>
    <w:rsid w:val="005C68D4"/>
    <w:rsid w:val="005C83FE"/>
    <w:rsid w:val="005D481B"/>
    <w:rsid w:val="005D6B5A"/>
    <w:rsid w:val="005E4BA8"/>
    <w:rsid w:val="006045CC"/>
    <w:rsid w:val="006123CA"/>
    <w:rsid w:val="00617E97"/>
    <w:rsid w:val="00621A71"/>
    <w:rsid w:val="00634EB5"/>
    <w:rsid w:val="00637B2F"/>
    <w:rsid w:val="00640C90"/>
    <w:rsid w:val="006510D7"/>
    <w:rsid w:val="00655F66"/>
    <w:rsid w:val="00665630"/>
    <w:rsid w:val="006706B3"/>
    <w:rsid w:val="00682552"/>
    <w:rsid w:val="00690034"/>
    <w:rsid w:val="00694922"/>
    <w:rsid w:val="0069661E"/>
    <w:rsid w:val="006A3935"/>
    <w:rsid w:val="006B6FFE"/>
    <w:rsid w:val="006D2340"/>
    <w:rsid w:val="006D4969"/>
    <w:rsid w:val="006E0CE5"/>
    <w:rsid w:val="006E2571"/>
    <w:rsid w:val="006E29FF"/>
    <w:rsid w:val="006E4F7F"/>
    <w:rsid w:val="006F08B6"/>
    <w:rsid w:val="006F25F0"/>
    <w:rsid w:val="006F671C"/>
    <w:rsid w:val="007103FC"/>
    <w:rsid w:val="00712D69"/>
    <w:rsid w:val="0071716C"/>
    <w:rsid w:val="00726EF8"/>
    <w:rsid w:val="00727256"/>
    <w:rsid w:val="007312EB"/>
    <w:rsid w:val="00740102"/>
    <w:rsid w:val="0077286C"/>
    <w:rsid w:val="007729E6"/>
    <w:rsid w:val="00786C78"/>
    <w:rsid w:val="00791336"/>
    <w:rsid w:val="00797CF7"/>
    <w:rsid w:val="007A1B1E"/>
    <w:rsid w:val="007B15DF"/>
    <w:rsid w:val="007B32DA"/>
    <w:rsid w:val="007B68C8"/>
    <w:rsid w:val="007C23A1"/>
    <w:rsid w:val="007C3AA9"/>
    <w:rsid w:val="007D0455"/>
    <w:rsid w:val="007D73E3"/>
    <w:rsid w:val="007E519E"/>
    <w:rsid w:val="007F4F48"/>
    <w:rsid w:val="00817D96"/>
    <w:rsid w:val="00830315"/>
    <w:rsid w:val="008379A3"/>
    <w:rsid w:val="008402A2"/>
    <w:rsid w:val="00842580"/>
    <w:rsid w:val="00847954"/>
    <w:rsid w:val="00850769"/>
    <w:rsid w:val="008562E6"/>
    <w:rsid w:val="00860D3F"/>
    <w:rsid w:val="008658AE"/>
    <w:rsid w:val="00867725"/>
    <w:rsid w:val="00875E4F"/>
    <w:rsid w:val="0088012F"/>
    <w:rsid w:val="00882633"/>
    <w:rsid w:val="00884424"/>
    <w:rsid w:val="00890752"/>
    <w:rsid w:val="0089694A"/>
    <w:rsid w:val="008B0AFF"/>
    <w:rsid w:val="008C1A38"/>
    <w:rsid w:val="008C2241"/>
    <w:rsid w:val="008C3EF9"/>
    <w:rsid w:val="008C59D8"/>
    <w:rsid w:val="008C79C5"/>
    <w:rsid w:val="008D3414"/>
    <w:rsid w:val="008D38B4"/>
    <w:rsid w:val="008D4754"/>
    <w:rsid w:val="008E20A9"/>
    <w:rsid w:val="008E6D85"/>
    <w:rsid w:val="008E6EBD"/>
    <w:rsid w:val="008F0D4A"/>
    <w:rsid w:val="008F395C"/>
    <w:rsid w:val="009003D6"/>
    <w:rsid w:val="0090137B"/>
    <w:rsid w:val="009041B5"/>
    <w:rsid w:val="009210EE"/>
    <w:rsid w:val="00921697"/>
    <w:rsid w:val="00925F8E"/>
    <w:rsid w:val="00934D89"/>
    <w:rsid w:val="00944DC0"/>
    <w:rsid w:val="009533B3"/>
    <w:rsid w:val="00964549"/>
    <w:rsid w:val="009755F7"/>
    <w:rsid w:val="00980DBE"/>
    <w:rsid w:val="00990AA8"/>
    <w:rsid w:val="00994EC2"/>
    <w:rsid w:val="009A36FF"/>
    <w:rsid w:val="009C269A"/>
    <w:rsid w:val="009E33A0"/>
    <w:rsid w:val="009E3DED"/>
    <w:rsid w:val="00A01215"/>
    <w:rsid w:val="00A076F6"/>
    <w:rsid w:val="00A10096"/>
    <w:rsid w:val="00A12FDD"/>
    <w:rsid w:val="00A14933"/>
    <w:rsid w:val="00A2193F"/>
    <w:rsid w:val="00A31E1C"/>
    <w:rsid w:val="00A32FE4"/>
    <w:rsid w:val="00A34F73"/>
    <w:rsid w:val="00A43B6C"/>
    <w:rsid w:val="00A46692"/>
    <w:rsid w:val="00A47D2E"/>
    <w:rsid w:val="00A62641"/>
    <w:rsid w:val="00A63E7E"/>
    <w:rsid w:val="00A74D13"/>
    <w:rsid w:val="00A81487"/>
    <w:rsid w:val="00A9276D"/>
    <w:rsid w:val="00A92BD1"/>
    <w:rsid w:val="00A933D8"/>
    <w:rsid w:val="00A96019"/>
    <w:rsid w:val="00AA20F3"/>
    <w:rsid w:val="00AB0F29"/>
    <w:rsid w:val="00AB1DD8"/>
    <w:rsid w:val="00AB7955"/>
    <w:rsid w:val="00AD2FA0"/>
    <w:rsid w:val="00AE42F1"/>
    <w:rsid w:val="00B04AE9"/>
    <w:rsid w:val="00B10796"/>
    <w:rsid w:val="00B3621F"/>
    <w:rsid w:val="00B36C5F"/>
    <w:rsid w:val="00B37479"/>
    <w:rsid w:val="00B50844"/>
    <w:rsid w:val="00B55CAE"/>
    <w:rsid w:val="00B62A55"/>
    <w:rsid w:val="00B71237"/>
    <w:rsid w:val="00B7394A"/>
    <w:rsid w:val="00B75379"/>
    <w:rsid w:val="00B76E1C"/>
    <w:rsid w:val="00B82342"/>
    <w:rsid w:val="00B85800"/>
    <w:rsid w:val="00B96293"/>
    <w:rsid w:val="00BA5600"/>
    <w:rsid w:val="00BB2AE8"/>
    <w:rsid w:val="00BC02D8"/>
    <w:rsid w:val="00BC2014"/>
    <w:rsid w:val="00BC5AB9"/>
    <w:rsid w:val="00BD36D7"/>
    <w:rsid w:val="00BD6034"/>
    <w:rsid w:val="00BE569F"/>
    <w:rsid w:val="00C11E92"/>
    <w:rsid w:val="00C21E3B"/>
    <w:rsid w:val="00C222C2"/>
    <w:rsid w:val="00C22739"/>
    <w:rsid w:val="00C32E15"/>
    <w:rsid w:val="00C41CB9"/>
    <w:rsid w:val="00C43E87"/>
    <w:rsid w:val="00C516C3"/>
    <w:rsid w:val="00C576F7"/>
    <w:rsid w:val="00C62188"/>
    <w:rsid w:val="00C70C90"/>
    <w:rsid w:val="00C70D58"/>
    <w:rsid w:val="00C764BF"/>
    <w:rsid w:val="00C86960"/>
    <w:rsid w:val="00C8699B"/>
    <w:rsid w:val="00C870A3"/>
    <w:rsid w:val="00C87C1C"/>
    <w:rsid w:val="00C94E4A"/>
    <w:rsid w:val="00CA2452"/>
    <w:rsid w:val="00CB722E"/>
    <w:rsid w:val="00CC4332"/>
    <w:rsid w:val="00CD055E"/>
    <w:rsid w:val="00CE07DF"/>
    <w:rsid w:val="00CE111C"/>
    <w:rsid w:val="00CF0CAC"/>
    <w:rsid w:val="00CF62E6"/>
    <w:rsid w:val="00D03CEF"/>
    <w:rsid w:val="00D0487A"/>
    <w:rsid w:val="00D10F97"/>
    <w:rsid w:val="00D1131E"/>
    <w:rsid w:val="00D30B02"/>
    <w:rsid w:val="00D3129B"/>
    <w:rsid w:val="00D52CED"/>
    <w:rsid w:val="00D53621"/>
    <w:rsid w:val="00D5783F"/>
    <w:rsid w:val="00D60A8E"/>
    <w:rsid w:val="00D75795"/>
    <w:rsid w:val="00D77A8F"/>
    <w:rsid w:val="00D87B49"/>
    <w:rsid w:val="00D87F34"/>
    <w:rsid w:val="00D907FE"/>
    <w:rsid w:val="00D922F3"/>
    <w:rsid w:val="00D95F51"/>
    <w:rsid w:val="00D96553"/>
    <w:rsid w:val="00DA2EE5"/>
    <w:rsid w:val="00DA4837"/>
    <w:rsid w:val="00DB3AA6"/>
    <w:rsid w:val="00DC204A"/>
    <w:rsid w:val="00DD3CC6"/>
    <w:rsid w:val="00DD49B2"/>
    <w:rsid w:val="00DD6348"/>
    <w:rsid w:val="00DD7F0A"/>
    <w:rsid w:val="00DE2F61"/>
    <w:rsid w:val="00DE5055"/>
    <w:rsid w:val="00DE57EB"/>
    <w:rsid w:val="00DF4116"/>
    <w:rsid w:val="00DF5786"/>
    <w:rsid w:val="00DF62FE"/>
    <w:rsid w:val="00DF7792"/>
    <w:rsid w:val="00E11567"/>
    <w:rsid w:val="00E17A75"/>
    <w:rsid w:val="00E25F06"/>
    <w:rsid w:val="00E364A6"/>
    <w:rsid w:val="00E463C2"/>
    <w:rsid w:val="00E500FF"/>
    <w:rsid w:val="00E54F1E"/>
    <w:rsid w:val="00E55CB8"/>
    <w:rsid w:val="00E72A94"/>
    <w:rsid w:val="00E74AE2"/>
    <w:rsid w:val="00E81195"/>
    <w:rsid w:val="00EA7727"/>
    <w:rsid w:val="00EB589C"/>
    <w:rsid w:val="00EB5E40"/>
    <w:rsid w:val="00EC6535"/>
    <w:rsid w:val="00ED0FD8"/>
    <w:rsid w:val="00ED19C0"/>
    <w:rsid w:val="00EE55D0"/>
    <w:rsid w:val="00EF107C"/>
    <w:rsid w:val="00F12121"/>
    <w:rsid w:val="00F20AE7"/>
    <w:rsid w:val="00F220A9"/>
    <w:rsid w:val="00F57832"/>
    <w:rsid w:val="00F7322D"/>
    <w:rsid w:val="00F90D29"/>
    <w:rsid w:val="00F934B1"/>
    <w:rsid w:val="00F94392"/>
    <w:rsid w:val="00FA003E"/>
    <w:rsid w:val="00FA64CA"/>
    <w:rsid w:val="00FA7CC1"/>
    <w:rsid w:val="00FB3DDF"/>
    <w:rsid w:val="00FB516C"/>
    <w:rsid w:val="00FC5F5A"/>
    <w:rsid w:val="00FD2F89"/>
    <w:rsid w:val="00FE0124"/>
    <w:rsid w:val="00FE1EFA"/>
    <w:rsid w:val="00FE32C5"/>
    <w:rsid w:val="042CC096"/>
    <w:rsid w:val="067C5C57"/>
    <w:rsid w:val="33D56D6B"/>
    <w:rsid w:val="363708A4"/>
    <w:rsid w:val="374A3457"/>
    <w:rsid w:val="39AAF551"/>
    <w:rsid w:val="3FE0FD00"/>
    <w:rsid w:val="4283A6FB"/>
    <w:rsid w:val="44CBB1D7"/>
    <w:rsid w:val="4BA9E775"/>
    <w:rsid w:val="5371D110"/>
    <w:rsid w:val="6971CDAD"/>
    <w:rsid w:val="72274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46B19"/>
  <w15:chartTrackingRefBased/>
  <w15:docId w15:val="{33CE1FCC-5E6E-4E74-82FB-D99945D99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00"/>
  </w:style>
  <w:style w:type="paragraph" w:styleId="Heading1">
    <w:name w:val="heading 1"/>
    <w:basedOn w:val="Normal"/>
    <w:next w:val="Normal"/>
    <w:link w:val="Heading1Char"/>
    <w:uiPriority w:val="9"/>
    <w:qFormat/>
    <w:rsid w:val="00C41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C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C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C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C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C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C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CB9"/>
    <w:rPr>
      <w:rFonts w:eastAsiaTheme="majorEastAsia" w:cstheme="majorBidi"/>
      <w:color w:val="272727" w:themeColor="text1" w:themeTint="D8"/>
    </w:rPr>
  </w:style>
  <w:style w:type="paragraph" w:styleId="Title">
    <w:name w:val="Title"/>
    <w:basedOn w:val="Normal"/>
    <w:next w:val="Normal"/>
    <w:link w:val="TitleChar"/>
    <w:uiPriority w:val="10"/>
    <w:qFormat/>
    <w:rsid w:val="00C41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CB9"/>
    <w:pPr>
      <w:spacing w:before="160"/>
      <w:jc w:val="center"/>
    </w:pPr>
    <w:rPr>
      <w:i/>
      <w:iCs/>
      <w:color w:val="404040" w:themeColor="text1" w:themeTint="BF"/>
    </w:rPr>
  </w:style>
  <w:style w:type="character" w:customStyle="1" w:styleId="QuoteChar">
    <w:name w:val="Quote Char"/>
    <w:basedOn w:val="DefaultParagraphFont"/>
    <w:link w:val="Quote"/>
    <w:uiPriority w:val="29"/>
    <w:rsid w:val="00C41CB9"/>
    <w:rPr>
      <w:i/>
      <w:iCs/>
      <w:color w:val="404040" w:themeColor="text1" w:themeTint="BF"/>
    </w:rPr>
  </w:style>
  <w:style w:type="paragraph" w:styleId="ListParagraph">
    <w:name w:val="List Paragraph"/>
    <w:basedOn w:val="Normal"/>
    <w:uiPriority w:val="34"/>
    <w:qFormat/>
    <w:rsid w:val="00C41CB9"/>
    <w:pPr>
      <w:ind w:left="720"/>
      <w:contextualSpacing/>
    </w:pPr>
  </w:style>
  <w:style w:type="character" w:styleId="IntenseEmphasis">
    <w:name w:val="Intense Emphasis"/>
    <w:basedOn w:val="DefaultParagraphFont"/>
    <w:uiPriority w:val="21"/>
    <w:qFormat/>
    <w:rsid w:val="00C41CB9"/>
    <w:rPr>
      <w:i/>
      <w:iCs/>
      <w:color w:val="0F4761" w:themeColor="accent1" w:themeShade="BF"/>
    </w:rPr>
  </w:style>
  <w:style w:type="paragraph" w:styleId="IntenseQuote">
    <w:name w:val="Intense Quote"/>
    <w:basedOn w:val="Normal"/>
    <w:next w:val="Normal"/>
    <w:link w:val="IntenseQuoteChar"/>
    <w:uiPriority w:val="30"/>
    <w:qFormat/>
    <w:rsid w:val="00C41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CB9"/>
    <w:rPr>
      <w:i/>
      <w:iCs/>
      <w:color w:val="0F4761" w:themeColor="accent1" w:themeShade="BF"/>
    </w:rPr>
  </w:style>
  <w:style w:type="character" w:styleId="IntenseReference">
    <w:name w:val="Intense Reference"/>
    <w:basedOn w:val="DefaultParagraphFont"/>
    <w:uiPriority w:val="32"/>
    <w:qFormat/>
    <w:rsid w:val="00C41CB9"/>
    <w:rPr>
      <w:b/>
      <w:bCs/>
      <w:smallCaps/>
      <w:color w:val="0F4761" w:themeColor="accent1" w:themeShade="BF"/>
      <w:spacing w:val="5"/>
    </w:rPr>
  </w:style>
  <w:style w:type="character" w:styleId="Hyperlink">
    <w:name w:val="Hyperlink"/>
    <w:basedOn w:val="DefaultParagraphFont"/>
    <w:uiPriority w:val="99"/>
    <w:unhideWhenUsed/>
    <w:rsid w:val="009755F7"/>
    <w:rPr>
      <w:color w:val="467886" w:themeColor="hyperlink"/>
      <w:u w:val="single"/>
    </w:rPr>
  </w:style>
  <w:style w:type="character" w:styleId="UnresolvedMention">
    <w:name w:val="Unresolved Mention"/>
    <w:basedOn w:val="DefaultParagraphFont"/>
    <w:uiPriority w:val="99"/>
    <w:semiHidden/>
    <w:unhideWhenUsed/>
    <w:rsid w:val="009755F7"/>
    <w:rPr>
      <w:color w:val="605E5C"/>
      <w:shd w:val="clear" w:color="auto" w:fill="E1DFDD"/>
    </w:rPr>
  </w:style>
  <w:style w:type="paragraph" w:styleId="Header">
    <w:name w:val="header"/>
    <w:basedOn w:val="Normal"/>
    <w:link w:val="HeaderChar"/>
    <w:uiPriority w:val="99"/>
    <w:unhideWhenUsed/>
    <w:rsid w:val="00C227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739"/>
  </w:style>
  <w:style w:type="paragraph" w:styleId="Footer">
    <w:name w:val="footer"/>
    <w:basedOn w:val="Normal"/>
    <w:link w:val="FooterChar"/>
    <w:uiPriority w:val="99"/>
    <w:unhideWhenUsed/>
    <w:rsid w:val="00C227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2739"/>
  </w:style>
  <w:style w:type="character" w:styleId="CommentReference">
    <w:name w:val="annotation reference"/>
    <w:basedOn w:val="DefaultParagraphFont"/>
    <w:uiPriority w:val="99"/>
    <w:semiHidden/>
    <w:unhideWhenUsed/>
    <w:rsid w:val="00165593"/>
    <w:rPr>
      <w:sz w:val="16"/>
      <w:szCs w:val="16"/>
    </w:rPr>
  </w:style>
  <w:style w:type="paragraph" w:styleId="CommentText">
    <w:name w:val="annotation text"/>
    <w:basedOn w:val="Normal"/>
    <w:link w:val="CommentTextChar"/>
    <w:uiPriority w:val="99"/>
    <w:unhideWhenUsed/>
    <w:rsid w:val="00165593"/>
    <w:pPr>
      <w:spacing w:line="240" w:lineRule="auto"/>
    </w:pPr>
    <w:rPr>
      <w:sz w:val="20"/>
      <w:szCs w:val="20"/>
    </w:rPr>
  </w:style>
  <w:style w:type="character" w:customStyle="1" w:styleId="CommentTextChar">
    <w:name w:val="Comment Text Char"/>
    <w:basedOn w:val="DefaultParagraphFont"/>
    <w:link w:val="CommentText"/>
    <w:uiPriority w:val="99"/>
    <w:rsid w:val="00165593"/>
    <w:rPr>
      <w:sz w:val="20"/>
      <w:szCs w:val="20"/>
    </w:rPr>
  </w:style>
  <w:style w:type="paragraph" w:styleId="CommentSubject">
    <w:name w:val="annotation subject"/>
    <w:basedOn w:val="CommentText"/>
    <w:next w:val="CommentText"/>
    <w:link w:val="CommentSubjectChar"/>
    <w:uiPriority w:val="99"/>
    <w:semiHidden/>
    <w:unhideWhenUsed/>
    <w:rsid w:val="00165593"/>
    <w:rPr>
      <w:b/>
      <w:bCs/>
    </w:rPr>
  </w:style>
  <w:style w:type="character" w:customStyle="1" w:styleId="CommentSubjectChar">
    <w:name w:val="Comment Subject Char"/>
    <w:basedOn w:val="CommentTextChar"/>
    <w:link w:val="CommentSubject"/>
    <w:uiPriority w:val="99"/>
    <w:semiHidden/>
    <w:rsid w:val="00165593"/>
    <w:rPr>
      <w:b/>
      <w:bCs/>
      <w:sz w:val="20"/>
      <w:szCs w:val="20"/>
    </w:rPr>
  </w:style>
  <w:style w:type="paragraph" w:styleId="FootnoteText">
    <w:name w:val="footnote text"/>
    <w:basedOn w:val="Normal"/>
    <w:link w:val="FootnoteTextChar"/>
    <w:uiPriority w:val="99"/>
    <w:semiHidden/>
    <w:unhideWhenUsed/>
    <w:rsid w:val="00D1131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1131E"/>
    <w:rPr>
      <w:sz w:val="20"/>
      <w:szCs w:val="20"/>
    </w:rPr>
  </w:style>
  <w:style w:type="character" w:styleId="FootnoteReference">
    <w:name w:val="footnote reference"/>
    <w:basedOn w:val="DefaultParagraphFont"/>
    <w:uiPriority w:val="99"/>
    <w:semiHidden/>
    <w:unhideWhenUsed/>
    <w:rsid w:val="00D1131E"/>
    <w:rPr>
      <w:vertAlign w:val="superscript"/>
    </w:rPr>
  </w:style>
  <w:style w:type="character" w:styleId="FollowedHyperlink">
    <w:name w:val="FollowedHyperlink"/>
    <w:basedOn w:val="DefaultParagraphFont"/>
    <w:uiPriority w:val="99"/>
    <w:semiHidden/>
    <w:unhideWhenUsed/>
    <w:rsid w:val="0027772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53191">
      <w:bodyDiv w:val="1"/>
      <w:marLeft w:val="0"/>
      <w:marRight w:val="0"/>
      <w:marTop w:val="0"/>
      <w:marBottom w:val="0"/>
      <w:divBdr>
        <w:top w:val="none" w:sz="0" w:space="0" w:color="auto"/>
        <w:left w:val="none" w:sz="0" w:space="0" w:color="auto"/>
        <w:bottom w:val="none" w:sz="0" w:space="0" w:color="auto"/>
        <w:right w:val="none" w:sz="0" w:space="0" w:color="auto"/>
      </w:divBdr>
      <w:divsChild>
        <w:div w:id="1714381294">
          <w:marLeft w:val="0"/>
          <w:marRight w:val="0"/>
          <w:marTop w:val="0"/>
          <w:marBottom w:val="0"/>
          <w:divBdr>
            <w:top w:val="none" w:sz="0" w:space="0" w:color="auto"/>
            <w:left w:val="none" w:sz="0" w:space="0" w:color="auto"/>
            <w:bottom w:val="none" w:sz="0" w:space="0" w:color="auto"/>
            <w:right w:val="none" w:sz="0" w:space="0" w:color="auto"/>
          </w:divBdr>
          <w:divsChild>
            <w:div w:id="290286212">
              <w:marLeft w:val="0"/>
              <w:marRight w:val="0"/>
              <w:marTop w:val="0"/>
              <w:marBottom w:val="0"/>
              <w:divBdr>
                <w:top w:val="none" w:sz="0" w:space="0" w:color="auto"/>
                <w:left w:val="none" w:sz="0" w:space="0" w:color="auto"/>
                <w:bottom w:val="none" w:sz="0" w:space="0" w:color="auto"/>
                <w:right w:val="none" w:sz="0" w:space="0" w:color="auto"/>
              </w:divBdr>
              <w:divsChild>
                <w:div w:id="185082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964919">
      <w:bodyDiv w:val="1"/>
      <w:marLeft w:val="0"/>
      <w:marRight w:val="0"/>
      <w:marTop w:val="0"/>
      <w:marBottom w:val="0"/>
      <w:divBdr>
        <w:top w:val="none" w:sz="0" w:space="0" w:color="auto"/>
        <w:left w:val="none" w:sz="0" w:space="0" w:color="auto"/>
        <w:bottom w:val="none" w:sz="0" w:space="0" w:color="auto"/>
        <w:right w:val="none" w:sz="0" w:space="0" w:color="auto"/>
      </w:divBdr>
    </w:div>
    <w:div w:id="275336638">
      <w:bodyDiv w:val="1"/>
      <w:marLeft w:val="0"/>
      <w:marRight w:val="0"/>
      <w:marTop w:val="0"/>
      <w:marBottom w:val="0"/>
      <w:divBdr>
        <w:top w:val="none" w:sz="0" w:space="0" w:color="auto"/>
        <w:left w:val="none" w:sz="0" w:space="0" w:color="auto"/>
        <w:bottom w:val="none" w:sz="0" w:space="0" w:color="auto"/>
        <w:right w:val="none" w:sz="0" w:space="0" w:color="auto"/>
      </w:divBdr>
    </w:div>
    <w:div w:id="328214587">
      <w:bodyDiv w:val="1"/>
      <w:marLeft w:val="0"/>
      <w:marRight w:val="0"/>
      <w:marTop w:val="0"/>
      <w:marBottom w:val="0"/>
      <w:divBdr>
        <w:top w:val="none" w:sz="0" w:space="0" w:color="auto"/>
        <w:left w:val="none" w:sz="0" w:space="0" w:color="auto"/>
        <w:bottom w:val="none" w:sz="0" w:space="0" w:color="auto"/>
        <w:right w:val="none" w:sz="0" w:space="0" w:color="auto"/>
      </w:divBdr>
    </w:div>
    <w:div w:id="340353537">
      <w:bodyDiv w:val="1"/>
      <w:marLeft w:val="0"/>
      <w:marRight w:val="0"/>
      <w:marTop w:val="0"/>
      <w:marBottom w:val="0"/>
      <w:divBdr>
        <w:top w:val="none" w:sz="0" w:space="0" w:color="auto"/>
        <w:left w:val="none" w:sz="0" w:space="0" w:color="auto"/>
        <w:bottom w:val="none" w:sz="0" w:space="0" w:color="auto"/>
        <w:right w:val="none" w:sz="0" w:space="0" w:color="auto"/>
      </w:divBdr>
    </w:div>
    <w:div w:id="374233047">
      <w:bodyDiv w:val="1"/>
      <w:marLeft w:val="0"/>
      <w:marRight w:val="0"/>
      <w:marTop w:val="0"/>
      <w:marBottom w:val="0"/>
      <w:divBdr>
        <w:top w:val="none" w:sz="0" w:space="0" w:color="auto"/>
        <w:left w:val="none" w:sz="0" w:space="0" w:color="auto"/>
        <w:bottom w:val="none" w:sz="0" w:space="0" w:color="auto"/>
        <w:right w:val="none" w:sz="0" w:space="0" w:color="auto"/>
      </w:divBdr>
      <w:divsChild>
        <w:div w:id="1482770000">
          <w:marLeft w:val="0"/>
          <w:marRight w:val="0"/>
          <w:marTop w:val="0"/>
          <w:marBottom w:val="0"/>
          <w:divBdr>
            <w:top w:val="none" w:sz="0" w:space="0" w:color="auto"/>
            <w:left w:val="none" w:sz="0" w:space="0" w:color="auto"/>
            <w:bottom w:val="none" w:sz="0" w:space="0" w:color="auto"/>
            <w:right w:val="none" w:sz="0" w:space="0" w:color="auto"/>
          </w:divBdr>
          <w:divsChild>
            <w:div w:id="1567884874">
              <w:marLeft w:val="0"/>
              <w:marRight w:val="0"/>
              <w:marTop w:val="0"/>
              <w:marBottom w:val="0"/>
              <w:divBdr>
                <w:top w:val="none" w:sz="0" w:space="0" w:color="auto"/>
                <w:left w:val="none" w:sz="0" w:space="0" w:color="auto"/>
                <w:bottom w:val="none" w:sz="0" w:space="0" w:color="auto"/>
                <w:right w:val="none" w:sz="0" w:space="0" w:color="auto"/>
              </w:divBdr>
              <w:divsChild>
                <w:div w:id="120817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220364">
      <w:bodyDiv w:val="1"/>
      <w:marLeft w:val="0"/>
      <w:marRight w:val="0"/>
      <w:marTop w:val="0"/>
      <w:marBottom w:val="0"/>
      <w:divBdr>
        <w:top w:val="none" w:sz="0" w:space="0" w:color="auto"/>
        <w:left w:val="none" w:sz="0" w:space="0" w:color="auto"/>
        <w:bottom w:val="none" w:sz="0" w:space="0" w:color="auto"/>
        <w:right w:val="none" w:sz="0" w:space="0" w:color="auto"/>
      </w:divBdr>
    </w:div>
    <w:div w:id="577638443">
      <w:bodyDiv w:val="1"/>
      <w:marLeft w:val="0"/>
      <w:marRight w:val="0"/>
      <w:marTop w:val="0"/>
      <w:marBottom w:val="0"/>
      <w:divBdr>
        <w:top w:val="none" w:sz="0" w:space="0" w:color="auto"/>
        <w:left w:val="none" w:sz="0" w:space="0" w:color="auto"/>
        <w:bottom w:val="none" w:sz="0" w:space="0" w:color="auto"/>
        <w:right w:val="none" w:sz="0" w:space="0" w:color="auto"/>
      </w:divBdr>
      <w:divsChild>
        <w:div w:id="931476404">
          <w:marLeft w:val="0"/>
          <w:marRight w:val="0"/>
          <w:marTop w:val="0"/>
          <w:marBottom w:val="0"/>
          <w:divBdr>
            <w:top w:val="none" w:sz="0" w:space="0" w:color="auto"/>
            <w:left w:val="none" w:sz="0" w:space="0" w:color="auto"/>
            <w:bottom w:val="none" w:sz="0" w:space="0" w:color="auto"/>
            <w:right w:val="none" w:sz="0" w:space="0" w:color="auto"/>
          </w:divBdr>
          <w:divsChild>
            <w:div w:id="1658414389">
              <w:marLeft w:val="0"/>
              <w:marRight w:val="0"/>
              <w:marTop w:val="0"/>
              <w:marBottom w:val="0"/>
              <w:divBdr>
                <w:top w:val="none" w:sz="0" w:space="0" w:color="auto"/>
                <w:left w:val="none" w:sz="0" w:space="0" w:color="auto"/>
                <w:bottom w:val="none" w:sz="0" w:space="0" w:color="auto"/>
                <w:right w:val="none" w:sz="0" w:space="0" w:color="auto"/>
              </w:divBdr>
              <w:divsChild>
                <w:div w:id="11361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660582">
      <w:bodyDiv w:val="1"/>
      <w:marLeft w:val="0"/>
      <w:marRight w:val="0"/>
      <w:marTop w:val="0"/>
      <w:marBottom w:val="0"/>
      <w:divBdr>
        <w:top w:val="none" w:sz="0" w:space="0" w:color="auto"/>
        <w:left w:val="none" w:sz="0" w:space="0" w:color="auto"/>
        <w:bottom w:val="none" w:sz="0" w:space="0" w:color="auto"/>
        <w:right w:val="none" w:sz="0" w:space="0" w:color="auto"/>
      </w:divBdr>
      <w:divsChild>
        <w:div w:id="243880983">
          <w:marLeft w:val="0"/>
          <w:marRight w:val="0"/>
          <w:marTop w:val="0"/>
          <w:marBottom w:val="0"/>
          <w:divBdr>
            <w:top w:val="none" w:sz="0" w:space="0" w:color="auto"/>
            <w:left w:val="none" w:sz="0" w:space="0" w:color="auto"/>
            <w:bottom w:val="none" w:sz="0" w:space="0" w:color="auto"/>
            <w:right w:val="none" w:sz="0" w:space="0" w:color="auto"/>
          </w:divBdr>
          <w:divsChild>
            <w:div w:id="644507922">
              <w:marLeft w:val="0"/>
              <w:marRight w:val="0"/>
              <w:marTop w:val="0"/>
              <w:marBottom w:val="0"/>
              <w:divBdr>
                <w:top w:val="none" w:sz="0" w:space="0" w:color="auto"/>
                <w:left w:val="none" w:sz="0" w:space="0" w:color="auto"/>
                <w:bottom w:val="none" w:sz="0" w:space="0" w:color="auto"/>
                <w:right w:val="none" w:sz="0" w:space="0" w:color="auto"/>
              </w:divBdr>
              <w:divsChild>
                <w:div w:id="9133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428627">
      <w:bodyDiv w:val="1"/>
      <w:marLeft w:val="0"/>
      <w:marRight w:val="0"/>
      <w:marTop w:val="0"/>
      <w:marBottom w:val="0"/>
      <w:divBdr>
        <w:top w:val="none" w:sz="0" w:space="0" w:color="auto"/>
        <w:left w:val="none" w:sz="0" w:space="0" w:color="auto"/>
        <w:bottom w:val="none" w:sz="0" w:space="0" w:color="auto"/>
        <w:right w:val="none" w:sz="0" w:space="0" w:color="auto"/>
      </w:divBdr>
      <w:divsChild>
        <w:div w:id="2066642286">
          <w:marLeft w:val="0"/>
          <w:marRight w:val="0"/>
          <w:marTop w:val="0"/>
          <w:marBottom w:val="0"/>
          <w:divBdr>
            <w:top w:val="none" w:sz="0" w:space="0" w:color="auto"/>
            <w:left w:val="none" w:sz="0" w:space="0" w:color="auto"/>
            <w:bottom w:val="none" w:sz="0" w:space="0" w:color="auto"/>
            <w:right w:val="none" w:sz="0" w:space="0" w:color="auto"/>
          </w:divBdr>
          <w:divsChild>
            <w:div w:id="2125996241">
              <w:marLeft w:val="0"/>
              <w:marRight w:val="0"/>
              <w:marTop w:val="0"/>
              <w:marBottom w:val="0"/>
              <w:divBdr>
                <w:top w:val="none" w:sz="0" w:space="0" w:color="auto"/>
                <w:left w:val="none" w:sz="0" w:space="0" w:color="auto"/>
                <w:bottom w:val="none" w:sz="0" w:space="0" w:color="auto"/>
                <w:right w:val="none" w:sz="0" w:space="0" w:color="auto"/>
              </w:divBdr>
              <w:divsChild>
                <w:div w:id="19812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117971">
      <w:bodyDiv w:val="1"/>
      <w:marLeft w:val="0"/>
      <w:marRight w:val="0"/>
      <w:marTop w:val="0"/>
      <w:marBottom w:val="0"/>
      <w:divBdr>
        <w:top w:val="none" w:sz="0" w:space="0" w:color="auto"/>
        <w:left w:val="none" w:sz="0" w:space="0" w:color="auto"/>
        <w:bottom w:val="none" w:sz="0" w:space="0" w:color="auto"/>
        <w:right w:val="none" w:sz="0" w:space="0" w:color="auto"/>
      </w:divBdr>
    </w:div>
    <w:div w:id="1059937110">
      <w:bodyDiv w:val="1"/>
      <w:marLeft w:val="0"/>
      <w:marRight w:val="0"/>
      <w:marTop w:val="0"/>
      <w:marBottom w:val="0"/>
      <w:divBdr>
        <w:top w:val="none" w:sz="0" w:space="0" w:color="auto"/>
        <w:left w:val="none" w:sz="0" w:space="0" w:color="auto"/>
        <w:bottom w:val="none" w:sz="0" w:space="0" w:color="auto"/>
        <w:right w:val="none" w:sz="0" w:space="0" w:color="auto"/>
      </w:divBdr>
      <w:divsChild>
        <w:div w:id="1846242223">
          <w:marLeft w:val="0"/>
          <w:marRight w:val="0"/>
          <w:marTop w:val="0"/>
          <w:marBottom w:val="0"/>
          <w:divBdr>
            <w:top w:val="none" w:sz="0" w:space="0" w:color="auto"/>
            <w:left w:val="none" w:sz="0" w:space="0" w:color="auto"/>
            <w:bottom w:val="none" w:sz="0" w:space="0" w:color="auto"/>
            <w:right w:val="none" w:sz="0" w:space="0" w:color="auto"/>
          </w:divBdr>
          <w:divsChild>
            <w:div w:id="1481996413">
              <w:marLeft w:val="0"/>
              <w:marRight w:val="0"/>
              <w:marTop w:val="0"/>
              <w:marBottom w:val="0"/>
              <w:divBdr>
                <w:top w:val="none" w:sz="0" w:space="0" w:color="auto"/>
                <w:left w:val="none" w:sz="0" w:space="0" w:color="auto"/>
                <w:bottom w:val="none" w:sz="0" w:space="0" w:color="auto"/>
                <w:right w:val="none" w:sz="0" w:space="0" w:color="auto"/>
              </w:divBdr>
              <w:divsChild>
                <w:div w:id="123030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565110">
      <w:bodyDiv w:val="1"/>
      <w:marLeft w:val="0"/>
      <w:marRight w:val="0"/>
      <w:marTop w:val="0"/>
      <w:marBottom w:val="0"/>
      <w:divBdr>
        <w:top w:val="none" w:sz="0" w:space="0" w:color="auto"/>
        <w:left w:val="none" w:sz="0" w:space="0" w:color="auto"/>
        <w:bottom w:val="none" w:sz="0" w:space="0" w:color="auto"/>
        <w:right w:val="none" w:sz="0" w:space="0" w:color="auto"/>
      </w:divBdr>
    </w:div>
    <w:div w:id="1331518384">
      <w:bodyDiv w:val="1"/>
      <w:marLeft w:val="0"/>
      <w:marRight w:val="0"/>
      <w:marTop w:val="0"/>
      <w:marBottom w:val="0"/>
      <w:divBdr>
        <w:top w:val="none" w:sz="0" w:space="0" w:color="auto"/>
        <w:left w:val="none" w:sz="0" w:space="0" w:color="auto"/>
        <w:bottom w:val="none" w:sz="0" w:space="0" w:color="auto"/>
        <w:right w:val="none" w:sz="0" w:space="0" w:color="auto"/>
      </w:divBdr>
    </w:div>
    <w:div w:id="1351757619">
      <w:bodyDiv w:val="1"/>
      <w:marLeft w:val="0"/>
      <w:marRight w:val="0"/>
      <w:marTop w:val="0"/>
      <w:marBottom w:val="0"/>
      <w:divBdr>
        <w:top w:val="none" w:sz="0" w:space="0" w:color="auto"/>
        <w:left w:val="none" w:sz="0" w:space="0" w:color="auto"/>
        <w:bottom w:val="none" w:sz="0" w:space="0" w:color="auto"/>
        <w:right w:val="none" w:sz="0" w:space="0" w:color="auto"/>
      </w:divBdr>
      <w:divsChild>
        <w:div w:id="801771023">
          <w:marLeft w:val="0"/>
          <w:marRight w:val="0"/>
          <w:marTop w:val="0"/>
          <w:marBottom w:val="0"/>
          <w:divBdr>
            <w:top w:val="none" w:sz="0" w:space="0" w:color="auto"/>
            <w:left w:val="none" w:sz="0" w:space="0" w:color="auto"/>
            <w:bottom w:val="none" w:sz="0" w:space="0" w:color="auto"/>
            <w:right w:val="none" w:sz="0" w:space="0" w:color="auto"/>
          </w:divBdr>
          <w:divsChild>
            <w:div w:id="1669408792">
              <w:marLeft w:val="0"/>
              <w:marRight w:val="0"/>
              <w:marTop w:val="0"/>
              <w:marBottom w:val="0"/>
              <w:divBdr>
                <w:top w:val="none" w:sz="0" w:space="0" w:color="auto"/>
                <w:left w:val="none" w:sz="0" w:space="0" w:color="auto"/>
                <w:bottom w:val="none" w:sz="0" w:space="0" w:color="auto"/>
                <w:right w:val="none" w:sz="0" w:space="0" w:color="auto"/>
              </w:divBdr>
              <w:divsChild>
                <w:div w:id="145702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434663">
      <w:bodyDiv w:val="1"/>
      <w:marLeft w:val="0"/>
      <w:marRight w:val="0"/>
      <w:marTop w:val="0"/>
      <w:marBottom w:val="0"/>
      <w:divBdr>
        <w:top w:val="none" w:sz="0" w:space="0" w:color="auto"/>
        <w:left w:val="none" w:sz="0" w:space="0" w:color="auto"/>
        <w:bottom w:val="none" w:sz="0" w:space="0" w:color="auto"/>
        <w:right w:val="none" w:sz="0" w:space="0" w:color="auto"/>
      </w:divBdr>
    </w:div>
    <w:div w:id="1744062142">
      <w:bodyDiv w:val="1"/>
      <w:marLeft w:val="0"/>
      <w:marRight w:val="0"/>
      <w:marTop w:val="0"/>
      <w:marBottom w:val="0"/>
      <w:divBdr>
        <w:top w:val="none" w:sz="0" w:space="0" w:color="auto"/>
        <w:left w:val="none" w:sz="0" w:space="0" w:color="auto"/>
        <w:bottom w:val="none" w:sz="0" w:space="0" w:color="auto"/>
        <w:right w:val="none" w:sz="0" w:space="0" w:color="auto"/>
      </w:divBdr>
    </w:div>
    <w:div w:id="1873809664">
      <w:bodyDiv w:val="1"/>
      <w:marLeft w:val="0"/>
      <w:marRight w:val="0"/>
      <w:marTop w:val="0"/>
      <w:marBottom w:val="0"/>
      <w:divBdr>
        <w:top w:val="none" w:sz="0" w:space="0" w:color="auto"/>
        <w:left w:val="none" w:sz="0" w:space="0" w:color="auto"/>
        <w:bottom w:val="none" w:sz="0" w:space="0" w:color="auto"/>
        <w:right w:val="none" w:sz="0" w:space="0" w:color="auto"/>
      </w:divBdr>
      <w:divsChild>
        <w:div w:id="702023970">
          <w:marLeft w:val="0"/>
          <w:marRight w:val="0"/>
          <w:marTop w:val="0"/>
          <w:marBottom w:val="0"/>
          <w:divBdr>
            <w:top w:val="none" w:sz="0" w:space="0" w:color="auto"/>
            <w:left w:val="none" w:sz="0" w:space="0" w:color="auto"/>
            <w:bottom w:val="none" w:sz="0" w:space="0" w:color="auto"/>
            <w:right w:val="none" w:sz="0" w:space="0" w:color="auto"/>
          </w:divBdr>
          <w:divsChild>
            <w:div w:id="1985700398">
              <w:marLeft w:val="0"/>
              <w:marRight w:val="0"/>
              <w:marTop w:val="0"/>
              <w:marBottom w:val="0"/>
              <w:divBdr>
                <w:top w:val="none" w:sz="0" w:space="0" w:color="auto"/>
                <w:left w:val="none" w:sz="0" w:space="0" w:color="auto"/>
                <w:bottom w:val="none" w:sz="0" w:space="0" w:color="auto"/>
                <w:right w:val="none" w:sz="0" w:space="0" w:color="auto"/>
              </w:divBdr>
              <w:divsChild>
                <w:div w:id="8125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943830">
      <w:bodyDiv w:val="1"/>
      <w:marLeft w:val="0"/>
      <w:marRight w:val="0"/>
      <w:marTop w:val="0"/>
      <w:marBottom w:val="0"/>
      <w:divBdr>
        <w:top w:val="none" w:sz="0" w:space="0" w:color="auto"/>
        <w:left w:val="none" w:sz="0" w:space="0" w:color="auto"/>
        <w:bottom w:val="none" w:sz="0" w:space="0" w:color="auto"/>
        <w:right w:val="none" w:sz="0" w:space="0" w:color="auto"/>
      </w:divBdr>
    </w:div>
    <w:div w:id="1901592975">
      <w:bodyDiv w:val="1"/>
      <w:marLeft w:val="0"/>
      <w:marRight w:val="0"/>
      <w:marTop w:val="0"/>
      <w:marBottom w:val="0"/>
      <w:divBdr>
        <w:top w:val="none" w:sz="0" w:space="0" w:color="auto"/>
        <w:left w:val="none" w:sz="0" w:space="0" w:color="auto"/>
        <w:bottom w:val="none" w:sz="0" w:space="0" w:color="auto"/>
        <w:right w:val="none" w:sz="0" w:space="0" w:color="auto"/>
      </w:divBdr>
      <w:divsChild>
        <w:div w:id="1389307896">
          <w:marLeft w:val="0"/>
          <w:marRight w:val="0"/>
          <w:marTop w:val="0"/>
          <w:marBottom w:val="0"/>
          <w:divBdr>
            <w:top w:val="none" w:sz="0" w:space="0" w:color="auto"/>
            <w:left w:val="none" w:sz="0" w:space="0" w:color="auto"/>
            <w:bottom w:val="none" w:sz="0" w:space="0" w:color="auto"/>
            <w:right w:val="none" w:sz="0" w:space="0" w:color="auto"/>
          </w:divBdr>
          <w:divsChild>
            <w:div w:id="779953927">
              <w:marLeft w:val="0"/>
              <w:marRight w:val="0"/>
              <w:marTop w:val="0"/>
              <w:marBottom w:val="0"/>
              <w:divBdr>
                <w:top w:val="none" w:sz="0" w:space="0" w:color="auto"/>
                <w:left w:val="none" w:sz="0" w:space="0" w:color="auto"/>
                <w:bottom w:val="none" w:sz="0" w:space="0" w:color="auto"/>
                <w:right w:val="none" w:sz="0" w:space="0" w:color="auto"/>
              </w:divBdr>
              <w:divsChild>
                <w:div w:id="176360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562296">
      <w:bodyDiv w:val="1"/>
      <w:marLeft w:val="0"/>
      <w:marRight w:val="0"/>
      <w:marTop w:val="0"/>
      <w:marBottom w:val="0"/>
      <w:divBdr>
        <w:top w:val="none" w:sz="0" w:space="0" w:color="auto"/>
        <w:left w:val="none" w:sz="0" w:space="0" w:color="auto"/>
        <w:bottom w:val="none" w:sz="0" w:space="0" w:color="auto"/>
        <w:right w:val="none" w:sz="0" w:space="0" w:color="auto"/>
      </w:divBdr>
      <w:divsChild>
        <w:div w:id="945844785">
          <w:marLeft w:val="0"/>
          <w:marRight w:val="0"/>
          <w:marTop w:val="0"/>
          <w:marBottom w:val="0"/>
          <w:divBdr>
            <w:top w:val="none" w:sz="0" w:space="0" w:color="auto"/>
            <w:left w:val="none" w:sz="0" w:space="0" w:color="auto"/>
            <w:bottom w:val="none" w:sz="0" w:space="0" w:color="auto"/>
            <w:right w:val="none" w:sz="0" w:space="0" w:color="auto"/>
          </w:divBdr>
          <w:divsChild>
            <w:div w:id="741486900">
              <w:marLeft w:val="0"/>
              <w:marRight w:val="0"/>
              <w:marTop w:val="0"/>
              <w:marBottom w:val="0"/>
              <w:divBdr>
                <w:top w:val="none" w:sz="0" w:space="0" w:color="auto"/>
                <w:left w:val="none" w:sz="0" w:space="0" w:color="auto"/>
                <w:bottom w:val="none" w:sz="0" w:space="0" w:color="auto"/>
                <w:right w:val="none" w:sz="0" w:space="0" w:color="auto"/>
              </w:divBdr>
              <w:divsChild>
                <w:div w:id="213189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8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3eec9eb-c382-46c1-a181-7ee161027bc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B71EFFACC8694EBAF79B10FD3E52AE" ma:contentTypeVersion="13" ma:contentTypeDescription="Create a new document." ma:contentTypeScope="" ma:versionID="3707b6a339f9dbe2e109fcc0b4fecc8d">
  <xsd:schema xmlns:xsd="http://www.w3.org/2001/XMLSchema" xmlns:xs="http://www.w3.org/2001/XMLSchema" xmlns:p="http://schemas.microsoft.com/office/2006/metadata/properties" xmlns:ns3="93eec9eb-c382-46c1-a181-7ee161027bc4" xmlns:ns4="802ab3d2-cb41-46d1-90b1-0c3a38c5c61b" targetNamespace="http://schemas.microsoft.com/office/2006/metadata/properties" ma:root="true" ma:fieldsID="61be60a89dc1b788ead7ce043ba3192c" ns3:_="" ns4:_="">
    <xsd:import namespace="93eec9eb-c382-46c1-a181-7ee161027bc4"/>
    <xsd:import namespace="802ab3d2-cb41-46d1-90b1-0c3a38c5c61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eec9eb-c382-46c1-a181-7ee161027b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2ab3d2-cb41-46d1-90b1-0c3a38c5c61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892A90-1312-4C8D-9DC5-95439C059A66}">
  <ds:schemaRefs>
    <ds:schemaRef ds:uri="93eec9eb-c382-46c1-a181-7ee161027bc4"/>
    <ds:schemaRef ds:uri="http://www.w3.org/XML/1998/namespace"/>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802ab3d2-cb41-46d1-90b1-0c3a38c5c61b"/>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8A7A94E1-A7B2-440A-96B0-9BC71C850E29}">
  <ds:schemaRefs>
    <ds:schemaRef ds:uri="http://schemas.microsoft.com/sharepoint/v3/contenttype/forms"/>
  </ds:schemaRefs>
</ds:datastoreItem>
</file>

<file path=customXml/itemProps3.xml><?xml version="1.0" encoding="utf-8"?>
<ds:datastoreItem xmlns:ds="http://schemas.openxmlformats.org/officeDocument/2006/customXml" ds:itemID="{00255AF4-44D8-413B-9AF2-5DF0062B7A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eec9eb-c382-46c1-a181-7ee161027bc4"/>
    <ds:schemaRef ds:uri="802ab3d2-cb41-46d1-90b1-0c3a38c5c6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3432</Words>
  <Characters>19567</Characters>
  <Application>Microsoft Office Word</Application>
  <DocSecurity>0</DocSecurity>
  <Lines>163</Lines>
  <Paragraphs>45</Paragraphs>
  <ScaleCrop>false</ScaleCrop>
  <Company/>
  <LinksUpToDate>false</LinksUpToDate>
  <CharactersWithSpaces>22954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Chermsirivatana, Ty</dc:creator>
  <cp:keywords/>
  <dc:description/>
  <cp:lastModifiedBy>Chermsirivatana, Ty</cp:lastModifiedBy>
  <cp:revision>2</cp:revision>
  <cp:lastPrinted>2024-03-07T05:15:00Z</cp:lastPrinted>
  <dcterms:created xsi:type="dcterms:W3CDTF">2025-04-09T15:14:00Z</dcterms:created>
  <dcterms:modified xsi:type="dcterms:W3CDTF">2025-04-09T15:14:00Z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0x010100C7B71EFFACC8694EBAF79B10FD3E52AE</vt:lpwstr>
  </property>
</Properties>
</file>