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funciones con sus parámetros y argumentos:</w:t>
      </w:r>
      <w:r/>
    </w:p>
    <w:tbl>
      <w:tblPr>
        <w:tblStyle w:val="71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126"/>
        <w:gridCol w:w="2409"/>
        <w:gridCol w:w="2410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Función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Parámetros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Por qué es un buen nombre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calcularImpuestoTotal(precioBase, tasaImpuesto)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precioBase: number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tasaImpuesto: number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Calcula el impuesto total sobre un precio base dado una tasa impositiva.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Claro, conciso y describe la acción exacta. Utiliza términos comunes como "precio" e "impuesto".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validarFormatoEmail(email)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email: string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Verifica si una cadena de texto tiene el formato de un correo electrónico válido.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el tipo de dato. Utiliza un verbo fuerte ("validar") y un término específico ("formato de email").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guardarUsuario(usuario)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usuario: Usuario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Guarda un objeto de usuario en la base de datos.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el objeto involucrado. Utiliza un término genérico ("usuario") que es fácilmente comprensible.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enviarNotificacion(usuario, mensaje)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usuario: Usuario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mensaje: string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Envía una notificación a un usuario específico con un mensaje determinado.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los destinatarios del mensaje. Utiliza términos comunes como "usuario" y "mensaje".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obtenerProductosEnOferta(categoria)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categoria: string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Obtiene una lista de productos en oferta de una categoría específica.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el criterio de búsqueda. Utiliza términos comunes como "producto", "oferta" y "categoría".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convertirMoneda(cantidad, monedaOrigen, monedaDestino)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cantidad: number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monedaOrigen: string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monedaDestino: string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Convierte una cantidad de una moneda a otra.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las unidades involucradas. Utiliza términos específicos como "moneda origen" y "moneda destino".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generarReporteVentas(fechaInicio, fechaFin)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fechaInicio: 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fechaFin: Date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 un reporte de ventas en un rango de fechas especificado.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Describe la acción y los parámetros de entrada. Utiliza términos comunes como "reporte" y "ventas".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86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Verbos fuertes: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verbos que describan claramente la acción que realiza la función (calcular, validar, guardar, enviar, obtener, convertir, generar, etc.).</w:t>
      </w:r>
      <w:r/>
    </w:p>
    <w:p>
      <w:pPr>
        <w:pStyle w:val="86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de parámetros descriptivos: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nombres de los parámetros deben indicar el tipo de dato que esperan y su propósito en la función.</w:t>
      </w:r>
      <w:r/>
    </w:p>
    <w:p>
      <w:pPr>
        <w:pStyle w:val="86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abreviaturas: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menos que sean muy conocidas y utilizadas en el contexto, evita abreviaturas para mejorar la legibilidad.</w:t>
      </w:r>
      <w:r/>
    </w:p>
    <w:p>
      <w:pPr>
        <w:pStyle w:val="86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Sé consistente: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un estilo de nombramiento consistente en todo tu código.</w:t>
      </w:r>
      <w:r/>
    </w:p>
    <w:p>
      <w:pPr>
        <w:pStyle w:val="86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Piensa en el lector: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Imagina que alguien que no está familiarizado con tu código está leyendo tu función. ¿El nombre y los parámetros son lo suficientemente claros para entender su propósito?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comentarios explicativos: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calcularPrecioTotalConDescuento(precioOriginal, descuentoPorcentaje) {   // Calcula el precio total de un producto después de aplicar un descuento.   //   // Parámetros:   //  - precioOriginal: El precio original del producto.   //  - descuentoPor</w:t>
      </w:r>
      <w:r>
        <w:rPr>
          <w:rFonts w:ascii="Courier New" w:hAnsi="Courier New" w:eastAsia="Courier New" w:cs="Courier New"/>
          <w:color w:val="000000"/>
          <w:sz w:val="20"/>
        </w:rPr>
        <w:t xml:space="preserve">centaje: El porcentaje de descuento a aplicar.   //   // Retorna:   //  - El precio total después del descuento.    const descuento = precioOriginal * (descuentoPorcentaje / 100);   const precioFinal = precioOriginal - descuento;   return precioFinal;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4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nombres claros para funciones:</w:t>
      </w:r>
      <w:r/>
    </w:p>
    <w:p>
      <w:pPr>
        <w:pStyle w:val="866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comprensión del código.</w:t>
      </w:r>
      <w:r/>
    </w:p>
    <w:p>
      <w:pPr>
        <w:pStyle w:val="866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Menor curva de aprendizaje: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Nuevos desarrolladores pueden entender el código más rápidamente.</w:t>
      </w:r>
      <w:r/>
    </w:p>
    <w:p>
      <w:pPr>
        <w:pStyle w:val="866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Menos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ser claros los nombres, se reducen las posibilidades de errores al llamar a las funciones.</w:t>
      </w:r>
      <w:r/>
    </w:p>
    <w:p>
      <w:pPr>
        <w:pStyle w:val="866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 más fácil: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ser más fácil de entender, el código es más fácil de modificar y ampliar.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seguir estos consejos, podrás crear funciones con nombres claros y descriptivos que faciliten la comprensión y el mantenimiento de tu código a largo plazo.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2024-09-05T06:26:39Z</dcterms:modified>
</cp:coreProperties>
</file>