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905000" cy="7048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"http://www.yanxifanyi.com/" \t "http://www.yanxifanyi.com/Content/_self"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首页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"http://www.yanxifanyi.com/Content/559046.html"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关于我们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"http://www.yanxifanyi.com/Content/559047.html"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服务项目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"http://www.yanxifanyi.com/Content/559048.html"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翻译语种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"http://www.yanxifanyi.com/Content/559049.html"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sz w:val="19"/>
          <w:szCs w:val="19"/>
          <w:u w:val="none"/>
          <w:bdr w:val="none" w:color="auto" w:sz="0" w:space="0"/>
          <w:shd w:val="clear" w:fill="FFFFFF"/>
        </w:rPr>
        <w:t>质量保证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"http://www.yanxifanyi.com/Content/559052.html"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合作案例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"http://p.qiao.baidu.com/cps/chat?siteId=14085638&amp;userId=29255444&amp;cp=www.yanxifanyi.com&amp;cr=www.yanxifanyi.com&amp;cw=www.yanxifanyi.com" \t "http://www.yanxifanyi.com/Content/_blank"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在线报价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"http://www.yanxifanyi.com/Content/559055.html"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联系我们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1430000" cy="2324100"/>
            <wp:effectExtent l="0" t="0" r="0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bdr w:val="none" w:color="auto" w:sz="0" w:space="0"/>
        </w:rPr>
        <w:t>翻译质量评估标准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        质量是翻译企业的立业之本。我们严格遵照中国翻译协会权威发布的《本地化翻译和文档排版质量评估规范》评估译文质量和进行译文质量的管控。本规范定义了本地化翻译和排版的错误类别和错误级别，并规定了具体错误类别和错误级别对整体质量影响的权重，以及本地化翻译和文档排版的质量得分和质量等级，为供应商和服务需求方提供了评估翻译和排版质量的框架性规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tbl>
      <w:tblPr>
        <w:tblStyle w:val="5"/>
        <w:tblpPr w:leftFromText="180" w:rightFromText="180" w:vertAnchor="text" w:horzAnchor="page" w:tblpX="495" w:tblpY="807"/>
        <w:tblOverlap w:val="never"/>
        <w:tblW w:w="112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720"/>
        <w:gridCol w:w="8220"/>
        <w:gridCol w:w="1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7" w:hRule="atLeast"/>
        </w:trPr>
        <w:tc>
          <w:tcPr>
            <w:tcW w:w="1037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严重性级别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代号</w:t>
            </w:r>
          </w:p>
        </w:tc>
        <w:tc>
          <w:tcPr>
            <w:tcW w:w="8220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定义</w:t>
            </w:r>
          </w:p>
        </w:tc>
        <w:tc>
          <w:tcPr>
            <w:tcW w:w="1252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质量扣分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103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原文错误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S</w:t>
            </w:r>
          </w:p>
        </w:tc>
        <w:tc>
          <w:tcPr>
            <w:tcW w:w="82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问题不是来源于翻译本身。如原文存在缺陷，译员有责任及时反映问题，在正确原文基础上完成翻译。</w:t>
            </w:r>
          </w:p>
        </w:tc>
        <w:tc>
          <w:tcPr>
            <w:tcW w:w="12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103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建议性修改</w:t>
            </w:r>
          </w:p>
        </w:tc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P</w:t>
            </w:r>
          </w:p>
        </w:tc>
        <w:tc>
          <w:tcPr>
            <w:tcW w:w="82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译文正确，使译文更完美的修改或建议。</w:t>
            </w:r>
          </w:p>
        </w:tc>
        <w:tc>
          <w:tcPr>
            <w:tcW w:w="12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03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次要错误</w:t>
            </w:r>
          </w:p>
        </w:tc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82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读者可以理解译文，但需要做进一步的改进，包括但不限于过多修饰的长句、译文不够流畅等。</w:t>
            </w:r>
          </w:p>
        </w:tc>
        <w:tc>
          <w:tcPr>
            <w:tcW w:w="12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4" w:hRule="atLeast"/>
        </w:trPr>
        <w:tc>
          <w:tcPr>
            <w:tcW w:w="103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一般错误</w:t>
            </w:r>
          </w:p>
        </w:tc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82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译文可读性差，有可能引发导致读者误导其含义。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2.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措辞不严谨，逻辑关系不明确，理解困难或容易引起歧义。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3.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未能正确反映原文中的细微差别。</w:t>
            </w:r>
          </w:p>
        </w:tc>
        <w:tc>
          <w:tcPr>
            <w:tcW w:w="12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1" w:hRule="atLeast"/>
        </w:trPr>
        <w:tc>
          <w:tcPr>
            <w:tcW w:w="103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严重错误</w:t>
            </w:r>
          </w:p>
        </w:tc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82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严重误译，逻辑不通，句意不明，完全逐词照搬的翻译。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2.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术语翻译与提供的术语库不一致。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3.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未严格按照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QA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反馈全文修改，或没有按照提问答复及客户要求进行翻译。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4.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疏忽导致的错误（错别字、漏译等）。</w:t>
            </w:r>
          </w:p>
        </w:tc>
        <w:tc>
          <w:tcPr>
            <w:tcW w:w="12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-1.5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5" w:hRule="atLeast"/>
        </w:trPr>
        <w:tc>
          <w:tcPr>
            <w:tcW w:w="1037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重大错误</w:t>
            </w:r>
          </w:p>
        </w:tc>
        <w:tc>
          <w:tcPr>
            <w:tcW w:w="7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误导用户使用产品和理解内容，存在造成用户损伤或损失的风险。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2.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损坏客户名誉的错误，包括但不限于代码错误、关键功能描述错误。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3.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出现在显著位置的公司或产品名称拼写错误。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4.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shd w:val="clear" w:fill="FFFFFF"/>
              </w:rPr>
              <w:t>产品技术指标数值和度量单位错误。</w:t>
            </w:r>
          </w:p>
        </w:tc>
        <w:tc>
          <w:tcPr>
            <w:tcW w:w="125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 w:line="193" w:lineRule="atLeast"/>
              <w:ind w:left="0" w:right="0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shd w:val="clear" w:fill="FFFFFF"/>
              </w:rPr>
              <w:t>-2.0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66092"/>
        </w:rPr>
        <w:t>翻译错误的定义及严重性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 w:line="193" w:lineRule="atLeast"/>
        <w:ind w:left="0" w:right="120"/>
        <w:jc w:val="lef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ascii="Calibri" w:hAnsi="Calibri" w:eastAsia="Helvetica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66092"/>
        </w:rPr>
        <w:t>准确性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tbl>
      <w:tblPr>
        <w:tblpPr w:leftFromText="180" w:rightFromText="180" w:vertAnchor="text" w:horzAnchor="page" w:tblpX="1215" w:tblpY="1183"/>
        <w:tblOverlap w:val="never"/>
        <w:tblW w:w="10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7514"/>
        <w:gridCol w:w="1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517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类别</w:t>
            </w:r>
          </w:p>
        </w:tc>
        <w:tc>
          <w:tcPr>
            <w:tcW w:w="7514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描述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质量扣分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错译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译文错误翻译了原文意思。译文未能正确反映原文中的细微差别。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2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冗译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译文中没有完全表达或缺失原文的内容；译文增添了内容；译文中未能删除原文冗长的内容。</w:t>
            </w: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1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漏译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译文遗漏关键内容：译文中包含未译的单词、短语、句子或段落。特别要求保留原文的除外，例如人名、通信地址、没有翻译的公司名称或产品名称。遇到这种情况询问客户，以客户答复为准。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tabs>
                <w:tab w:val="left" w:pos="6900"/>
              </w:tabs>
              <w:jc w:val="left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过译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翻译了无需翻译的内容：例如代码、地址、变量、参数、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地址、命令行、需要保留原文的产品名称、公司名称、版本号等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前后不一致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译文前后存在不一致，译文未与已有翻译及翻译记忆库保持一致。译文中的交叉引用以及其他参考文献未与相关文本保持一致。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数据错译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译文中的数据与原文中数据不符。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严重错译和误译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存在误导用户使用产品并造成损伤和损失的风险。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1517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拼写错误</w:t>
            </w:r>
          </w:p>
        </w:tc>
        <w:tc>
          <w:tcPr>
            <w:tcW w:w="7514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单词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字拼写错误。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56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both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66092"/>
        </w:rPr>
        <w:t>语言及风格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tbl>
      <w:tblPr>
        <w:tblW w:w="1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7504"/>
        <w:gridCol w:w="15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atLeast"/>
        </w:trPr>
        <w:tc>
          <w:tcPr>
            <w:tcW w:w="1932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类别</w:t>
            </w:r>
          </w:p>
        </w:tc>
        <w:tc>
          <w:tcPr>
            <w:tcW w:w="7504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描述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质量扣分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</w:trPr>
        <w:tc>
          <w:tcPr>
            <w:tcW w:w="19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语法错误</w:t>
            </w:r>
          </w:p>
        </w:tc>
        <w:tc>
          <w:tcPr>
            <w:tcW w:w="75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译文未遵守目标语言有关语法或句法的具体规则以及语言风格。</w:t>
            </w:r>
          </w:p>
        </w:tc>
        <w:tc>
          <w:tcPr>
            <w:tcW w:w="156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19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表达问题</w:t>
            </w:r>
          </w:p>
        </w:tc>
        <w:tc>
          <w:tcPr>
            <w:tcW w:w="75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译文未参照原文，导致读者或最终用户难于理解。</w:t>
            </w:r>
          </w:p>
        </w:tc>
        <w:tc>
          <w:tcPr>
            <w:tcW w:w="156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9" w:hRule="atLeast"/>
        </w:trPr>
        <w:tc>
          <w:tcPr>
            <w:tcW w:w="19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文风问题</w:t>
            </w:r>
          </w:p>
        </w:tc>
        <w:tc>
          <w:tcPr>
            <w:tcW w:w="75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语言风格或措辞不符合特定行业的风格。</w:t>
            </w:r>
          </w:p>
        </w:tc>
        <w:tc>
          <w:tcPr>
            <w:tcW w:w="156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19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存在歧视</w:t>
            </w:r>
          </w:p>
        </w:tc>
        <w:tc>
          <w:tcPr>
            <w:tcW w:w="75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涉及种族、性别、职业、信仰、残疾等内容时措辞不当。</w:t>
            </w:r>
          </w:p>
        </w:tc>
        <w:tc>
          <w:tcPr>
            <w:tcW w:w="156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9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风格指南</w:t>
            </w:r>
          </w:p>
        </w:tc>
        <w:tc>
          <w:tcPr>
            <w:tcW w:w="75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没有根据客户或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ECI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提供的风格指南进行翻译。</w:t>
            </w:r>
          </w:p>
        </w:tc>
        <w:tc>
          <w:tcPr>
            <w:tcW w:w="156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</w:trPr>
        <w:tc>
          <w:tcPr>
            <w:tcW w:w="193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约定条款</w:t>
            </w:r>
          </w:p>
        </w:tc>
        <w:tc>
          <w:tcPr>
            <w:tcW w:w="7504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译文不符合各国家的标准约定（日期格式、货币单位、度量单位等），不符合语言习惯。</w:t>
            </w:r>
          </w:p>
        </w:tc>
        <w:tc>
          <w:tcPr>
            <w:tcW w:w="1564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both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66092"/>
        </w:rPr>
        <w:t>专业术语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tbl>
      <w:tblPr>
        <w:tblW w:w="1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7432"/>
        <w:gridCol w:w="1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320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类别</w:t>
            </w:r>
          </w:p>
        </w:tc>
        <w:tc>
          <w:tcPr>
            <w:tcW w:w="7432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描述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质量扣分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1" w:hRule="atLeast"/>
        </w:trPr>
        <w:tc>
          <w:tcPr>
            <w:tcW w:w="23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术语表</w:t>
            </w:r>
          </w:p>
        </w:tc>
        <w:tc>
          <w:tcPr>
            <w:tcW w:w="74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未能遵守客户提供的术语表，包括但不限于通用术语表、项目特定术语表、用户界面内容翻译表、缩写表等。</w:t>
            </w:r>
          </w:p>
        </w:tc>
        <w:tc>
          <w:tcPr>
            <w:tcW w:w="132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7" w:hRule="atLeast"/>
        </w:trPr>
        <w:tc>
          <w:tcPr>
            <w:tcW w:w="23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行业标准</w:t>
            </w:r>
          </w:p>
        </w:tc>
        <w:tc>
          <w:tcPr>
            <w:tcW w:w="74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术语使用不符合公认的行业标准。</w:t>
            </w:r>
          </w:p>
        </w:tc>
        <w:tc>
          <w:tcPr>
            <w:tcW w:w="132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23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使用不当</w:t>
            </w:r>
          </w:p>
        </w:tc>
        <w:tc>
          <w:tcPr>
            <w:tcW w:w="74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术语与上下文不符；对于一词多义的情况错误套用客户提供的术语。</w:t>
            </w:r>
          </w:p>
        </w:tc>
        <w:tc>
          <w:tcPr>
            <w:tcW w:w="132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23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不一致</w:t>
            </w:r>
          </w:p>
        </w:tc>
        <w:tc>
          <w:tcPr>
            <w:tcW w:w="743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术语各种形式的内容之间不一致，术语在手册、网站内容以及宣传资料不一致，软件用户界面术语与在线帮助文档或用户手册不一致，造成用户理解困难甚至误导；混用不同项目、产品、平台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(Windows, Linux, Mac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等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各自适用的术语。</w:t>
            </w:r>
          </w:p>
        </w:tc>
        <w:tc>
          <w:tcPr>
            <w:tcW w:w="132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23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政治宗教敏感性</w:t>
            </w:r>
          </w:p>
        </w:tc>
        <w:tc>
          <w:tcPr>
            <w:tcW w:w="743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对政治、法律、文化和宗教等敏感性术语的翻译未遵循客户要求。</w:t>
            </w:r>
          </w:p>
        </w:tc>
        <w:tc>
          <w:tcPr>
            <w:tcW w:w="132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both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66092"/>
        </w:rPr>
        <w:t>格式（参见排版质量标准，如果没有订购排版业务，不计这类错误）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tbl>
      <w:tblPr>
        <w:tblW w:w="11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6"/>
        <w:gridCol w:w="7516"/>
        <w:gridCol w:w="1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936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类别</w:t>
            </w:r>
          </w:p>
        </w:tc>
        <w:tc>
          <w:tcPr>
            <w:tcW w:w="7516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描述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质量扣分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格式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不一致的字体、大小、高亮、色彩、换行符。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乱码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译文中的文字符号等内容显示不正确，无法辨认。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标识符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添加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删除标签或标签位置不正确。该项仅适用于使用标记的文件（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，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，</w:t>
            </w: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FM</w:t>
            </w: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等）。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空格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未能按照客户要求在中文与单字节字符之间保留或删除空格。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换行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未能遵循原文换行，包括增加不必要的换行和删除了原文中存在的换行。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6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标点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标点的处理未能遵守客户要求或中文标点符号使用规范，包括中英文标点的使用、标点前后的空格等。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间距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译文使用了错误的行间距或字间距或间距不一致。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6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标注、索引、引用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标注未指向正确的对象，索引和交叉引用不正确等。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数字格式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数字使用（中文和阿拉伯数字）未遵守客户和中文规范。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936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其它</w:t>
            </w:r>
          </w:p>
        </w:tc>
        <w:tc>
          <w:tcPr>
            <w:tcW w:w="7516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键盘名称、快捷键、变量等参数的翻译风格未遵守客户。</w:t>
            </w:r>
          </w:p>
        </w:tc>
        <w:tc>
          <w:tcPr>
            <w:tcW w:w="156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444444"/>
                <w:sz w:val="21"/>
                <w:szCs w:val="21"/>
                <w:bdr w:val="none" w:color="auto" w:sz="0" w:space="0"/>
                <w:shd w:val="clear" w:fill="FFFFFF"/>
              </w:rPr>
              <w:t>-0.5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0" w:beforeAutospacing="0" w:after="0" w:afterAutospacing="0"/>
        <w:ind w:left="0" w:right="120"/>
        <w:jc w:val="both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630" w:lineRule="atLeast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19"/>
          <w:szCs w:val="19"/>
          <w:bdr w:val="none" w:color="auto" w:sz="0" w:space="0"/>
          <w:shd w:val="clear" w:fill="366092"/>
        </w:rPr>
        <w:t>公司介绍        服务项目        关于我们        翻译报价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630" w:lineRule="atLeast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19"/>
          <w:szCs w:val="19"/>
          <w:bdr w:val="none" w:color="auto" w:sz="0" w:space="0"/>
          <w:shd w:val="clear" w:fill="366092"/>
        </w:rPr>
        <w:t>言蹊翻译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366092"/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366092"/>
          <w:lang w:val="en-US" w:eastAsia="zh-CN" w:bidi="ar"/>
        </w:rPr>
        <w:drawing>
          <wp:inline distT="0" distB="0" distL="114300" distR="114300">
            <wp:extent cx="1343025" cy="1343025"/>
            <wp:effectExtent l="0" t="0" r="13335" b="1333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咨询热线：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020-31604924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15322380944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工作时间：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周一到周日9:00到18:00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66092"/>
        </w:rPr>
        <w:t>©Copy Right @2019 广州言蹊翻译有限公司 All Rights Reserved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8248D"/>
    <w:rsid w:val="777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2020-10-19T07:39:00Z</dcterms:created>
  <dc:creator>Administrator</dc:creator>
  <cp:lastModifiedBy>Administrator</cp:lastModifiedBy>
  <dcterms:modified xsi:type="dcterms:W3CDTF">2020-10-19T07:43:25Z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