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b4681858e4d621a821e4a5c407b72e4d1b60bec"/>
    <w:p>
      <w:pPr>
        <w:pStyle w:val="Heading1"/>
      </w:pPr>
      <w:r>
        <w:t xml:space="preserve">INSTITUTIONAL INVESTMENT DOSSIER: Gossamer Bio Inc. (GOSS)</w:t>
      </w:r>
    </w:p>
    <w:p>
      <w:pPr>
        <w:pStyle w:val="FirstParagraph"/>
      </w:pPr>
      <w:r>
        <w:rPr>
          <w:bCs/>
          <w:b/>
        </w:rPr>
        <w:t xml:space="preserve">Prepared for Investment Committee Review | January 2026</w:t>
      </w:r>
      <w:r>
        <w:br/>
      </w:r>
      <w:r>
        <w:rPr>
          <w:bCs/>
          <w:b/>
        </w:rPr>
        <w:t xml:space="preserve">Strictly Confidential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BUY (Structured Catalyst Exposure)</w:t>
      </w:r>
      <w:r>
        <w:br/>
      </w:r>
      <w:r>
        <w:rPr>
          <w:bCs/>
          <w:b/>
        </w:rPr>
        <w:t xml:space="preserve">Current Price:</w:t>
      </w:r>
      <w:r>
        <w:t xml:space="preserve"> </w:t>
      </w:r>
      <w:r>
        <w:t xml:space="preserve">$2.41 |</w:t>
      </w:r>
      <w:r>
        <w:t xml:space="preserve"> </w:t>
      </w:r>
      <w:r>
        <w:rPr>
          <w:bCs/>
          <w:b/>
        </w:rPr>
        <w:t xml:space="preserve">Market Cap:</w:t>
      </w:r>
      <w:r>
        <w:t xml:space="preserve"> </w:t>
      </w:r>
      <w:r>
        <w:t xml:space="preserve">~$568M |</w:t>
      </w:r>
      <w:r>
        <w:t xml:space="preserve"> </w:t>
      </w:r>
      <w:r>
        <w:rPr>
          <w:bCs/>
          <w:b/>
        </w:rPr>
        <w:t xml:space="preserve">Cash:</w:t>
      </w:r>
      <w:r>
        <w:t xml:space="preserve"> </w:t>
      </w:r>
      <w:r>
        <w:t xml:space="preserve">$180.2M (Q3 2025)</w:t>
      </w:r>
      <w:r>
        <w:br/>
      </w:r>
      <w:r>
        <w:rPr>
          <w:bCs/>
          <w:b/>
        </w:rPr>
        <w:t xml:space="preserve">Probability-Weighted Price Target:</w:t>
      </w:r>
      <w:r>
        <w:t xml:space="preserve"> </w:t>
      </w:r>
      <w:r>
        <w:t xml:space="preserve">$6.50 (170% Upside)</w:t>
      </w:r>
      <w:r>
        <w:br/>
      </w:r>
      <w:r>
        <w:rPr>
          <w:bCs/>
          <w:b/>
        </w:rPr>
        <w:t xml:space="preserve">Time Horizon:</w:t>
      </w:r>
      <w:r>
        <w:t xml:space="preserve"> </w:t>
      </w:r>
      <w:r>
        <w:t xml:space="preserve">6-8 Weeks (Catalyst: PROSERA Phase 3 Topline Readout, Feb 2026)</w:t>
      </w:r>
      <w:r>
        <w:br/>
      </w:r>
      <w:r>
        <w:rPr>
          <w:bCs/>
          <w:b/>
        </w:rPr>
        <w:t xml:space="preserve">Position Sizing:</w:t>
      </w:r>
      <w:r>
        <w:t xml:space="preserve"> </w:t>
      </w:r>
      <w:r>
        <w:t xml:space="preserve">0.5% - 1.5% of Portfolio (High-Risk Bucket)</w:t>
      </w:r>
      <w:r>
        <w:br/>
      </w:r>
      <w:r>
        <w:rPr>
          <w:bCs/>
          <w:b/>
        </w:rPr>
        <w:t xml:space="preserve">Risk Rating:</w:t>
      </w:r>
      <w:r>
        <w:t xml:space="preserve"> </w:t>
      </w:r>
      <w:r>
        <w:t xml:space="preserve">HIGH (Binary Clinical Event)</w:t>
      </w:r>
    </w:p>
    <w:bookmarkStart w:id="20" w:name="key-metrics-summary"/>
    <w:p>
      <w:pPr>
        <w:pStyle w:val="Heading3"/>
      </w:pPr>
      <w:r>
        <w:t xml:space="preserve">Key Metrics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053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through key catalyst, low dilution risk near-term.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PoS (Market)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market cap vs. risk-adjusted NPV.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PoS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Phase 2 data, mechanistic rationale, and trial design adjustments.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 (Bull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$15+ on approval and peak sales &gt;$1.5B.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Downside (Fail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~$0.70, cash-back valuation.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Value (EV)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+$2.90/share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Favorable risk/reward skew; asymmetry ratio &gt;3:1.</w:t>
            </w:r>
          </w:p>
        </w:tc>
      </w:tr>
    </w:tbl>
    <w:bookmarkEnd w:id="20"/>
    <w:bookmarkStart w:id="21" w:name="investment-thesis-in-brief"/>
    <w:p>
      <w:pPr>
        <w:pStyle w:val="Heading3"/>
      </w:pPr>
      <w:r>
        <w:t xml:space="preserve">Investment Thesis in Brief</w:t>
      </w:r>
    </w:p>
    <w:p>
      <w:pPr>
        <w:pStyle w:val="FirstParagraph"/>
      </w:pPr>
      <w:r>
        <w:t xml:space="preserve">GOSS offers a mispriced, high-optionality call option on the topline readout of PROSERA, its Phase 3 trial for seralutinib in Pulmonary Arterial Hypertension (PAH). The market ascribes a low probability of success (PoS ~25%) due to historical PAH trial failures and GOSS’s prior clinical setbacks. Our variant perception hinges 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Compelling Phase 2 data</w:t>
      </w:r>
      <w:r>
        <w:t xml:space="preserve"> </w:t>
      </w:r>
      <w:r>
        <w:t xml:space="preserve">showing dose-responsive improvements in pulmonary vascular resistance (PVR)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Mechanistically distinct approach:</w:t>
      </w:r>
      <w:r>
        <w:t xml:space="preserve"> </w:t>
      </w:r>
      <w:r>
        <w:t xml:space="preserve">Inhaled dual PDGFR/CSF1R/c-KIT inhibitor targeting the vascular remodeling core of PAH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Refined Phase 3 trial design (PROSERA)</w:t>
      </w:r>
      <w:r>
        <w:t xml:space="preserve"> </w:t>
      </w:r>
      <w:r>
        <w:t xml:space="preserve">with optimized dose and primary endpoint (Change in 6MWD) in treatment-naïve patients, increasing sensitivity to detect efficacy</w:t>
      </w:r>
    </w:p>
    <w:p>
      <w:pPr>
        <w:pStyle w:val="FirstParagraph"/>
      </w:pPr>
      <w:r>
        <w:t xml:space="preserve">With a cash runway that removes near-term dilution risk and a major catalyst within 6-8 weeks, the asymmetric payoff profile warrants a structured position.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investment-thesis-variant-perception"/>
    <w:p>
      <w:pPr>
        <w:pStyle w:val="Heading2"/>
      </w:pPr>
      <w:r>
        <w:t xml:space="preserve">1. INVESTMENT THESIS &amp; VARIANT PERCEPTION</w:t>
      </w:r>
    </w:p>
    <w:bookmarkStart w:id="23" w:name="the-consensus-view"/>
    <w:p>
      <w:pPr>
        <w:pStyle w:val="Heading3"/>
      </w:pPr>
      <w:r>
        <w:t xml:space="preserve">The Consensus View</w:t>
      </w:r>
    </w:p>
    <w:p>
      <w:pPr>
        <w:pStyle w:val="FirstParagraph"/>
      </w:pPr>
      <w:r>
        <w:t xml:space="preserve">The market views GOSS as a</w:t>
      </w:r>
      <w:r>
        <w:t xml:space="preserve"> </w:t>
      </w:r>
      <w:r>
        <w:t xml:space="preserve">“</w:t>
      </w:r>
      <w:r>
        <w:t xml:space="preserve">broken story</w:t>
      </w:r>
      <w:r>
        <w:t xml:space="preserve">”</w:t>
      </w:r>
      <w:r>
        <w:t xml:space="preserve"> </w:t>
      </w:r>
      <w:r>
        <w:t xml:space="preserve">with low likelihood of clinical success. Sentiment is anchored by: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 PAH trial failure rate:</w:t>
      </w:r>
      <w:r>
        <w:t xml:space="preserve"> </w:t>
      </w:r>
      <w:r>
        <w:t xml:space="preserve">Particularly for novel mechanisms outside established vasodilator classes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 clinical setback:</w:t>
      </w:r>
      <w:r>
        <w:t xml:space="preserve"> </w:t>
      </w:r>
      <w:r>
        <w:t xml:space="preserve">GOSS terminated the seralutinib program in pulmonary hypertension associated with interstitial lung disease (PH-ILD) after futility analysis, creating asset overhang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Single-asset concentration:</w:t>
      </w:r>
      <w:r>
        <w:t xml:space="preserve"> </w:t>
      </w:r>
      <w:r>
        <w:t xml:space="preserve">General skepticism toward micro-cap biotechs with concentrated pipeline risk</w:t>
      </w:r>
    </w:p>
    <w:p>
      <w:pPr>
        <w:pStyle w:val="FirstParagraph"/>
      </w:pPr>
      <w:r>
        <w:t xml:space="preserve">This is reflected in a market cap ($568M) barely above net cash (~$180M Q3 2025), implying near-zero value for seralutinib despite Phase 3 status.</w:t>
      </w:r>
    </w:p>
    <w:bookmarkEnd w:id="23"/>
    <w:bookmarkStart w:id="28" w:name="Xc20168659d3928d97569ab07c67857c86fa7262"/>
    <w:p>
      <w:pPr>
        <w:pStyle w:val="Heading3"/>
      </w:pPr>
      <w:r>
        <w:t xml:space="preserve">Our Variant Perception: A Mispriced Optionality with Underappreciated PoS</w:t>
      </w:r>
    </w:p>
    <w:p>
      <w:pPr>
        <w:pStyle w:val="FirstParagraph"/>
      </w:pPr>
      <w:r>
        <w:t xml:space="preserve">We believe the market’s PoS (~25%) is materially undervalued. Our 45-50% PoS is derived from:</w:t>
      </w:r>
    </w:p>
    <w:bookmarkStart w:id="24" w:name="phase-2-signal-is-real"/>
    <w:p>
      <w:pPr>
        <w:pStyle w:val="Heading4"/>
      </w:pPr>
      <w:r>
        <w:t xml:space="preserve">Phase 2 Signal is Real</w:t>
      </w:r>
    </w:p>
    <w:p>
      <w:pPr>
        <w:pStyle w:val="FirstParagraph"/>
      </w:pPr>
      <w:r>
        <w:rPr>
          <w:bCs/>
          <w:b/>
        </w:rPr>
        <w:t xml:space="preserve">TORREY Study Results: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Endpoint (PVR):</w:t>
      </w:r>
      <w:r>
        <w:t xml:space="preserve"> </w:t>
      </w:r>
      <w:r>
        <w:t xml:space="preserve">90mg BID group showed -14.7% mean change vs. -2.3% for placebo (p=0.08)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Dose-Response Trend:</w:t>
      </w:r>
      <w:r>
        <w:t xml:space="preserve"> </w:t>
      </w:r>
      <w:r>
        <w:t xml:space="preserve">Clear dose-dependent effect (45mg: -8.2%, 90mg: -14.7%)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6MWD Secondary:</w:t>
      </w:r>
      <w:r>
        <w:t xml:space="preserve"> </w:t>
      </w:r>
      <w:r>
        <w:t xml:space="preserve">+21.6m improvement vs. placebo at Week 24 (not statistically significant but clinically meaningful)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PVR Context:</w:t>
      </w:r>
      <w:r>
        <w:t xml:space="preserve"> </w:t>
      </w:r>
      <w:r>
        <w:t xml:space="preserve">Gold-standard hemodynamic measure directly linked to vascular remodeling</w:t>
      </w:r>
    </w:p>
    <w:bookmarkEnd w:id="24"/>
    <w:bookmarkStart w:id="25" w:name="Xf79d040f2321ecfd24627dc474391f9ff7456c6"/>
    <w:p>
      <w:pPr>
        <w:pStyle w:val="Heading4"/>
      </w:pPr>
      <w:r>
        <w:t xml:space="preserve">Learning &amp; Adapting: Critical PROSERA Adjustments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376"/>
        <w:gridCol w:w="2508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TORREY (Phase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PROSERA (Phase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90mg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90mg 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drug exposure; dose-response suggests higher exposure = greater efficacy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PAH therapy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Treatment-naïve PAH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confounding effects; capture patients where disease modification most measurable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6MWD change at 24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 regulatory standard for PAH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PVR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hemodynamic validation</w:t>
            </w:r>
          </w:p>
        </w:tc>
      </w:tr>
    </w:tbl>
    <w:bookmarkEnd w:id="25"/>
    <w:bookmarkStart w:id="26" w:name="mechanistic-rationale"/>
    <w:p>
      <w:pPr>
        <w:pStyle w:val="Heading4"/>
      </w:pPr>
      <w:r>
        <w:t xml:space="preserve">Mechanistic Rationale</w:t>
      </w:r>
    </w:p>
    <w:p>
      <w:pPr>
        <w:pStyle w:val="FirstParagraph"/>
      </w:pPr>
      <w:r>
        <w:rPr>
          <w:bCs/>
          <w:b/>
        </w:rPr>
        <w:t xml:space="preserve">Target Profile: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PDGFRα/β:</w:t>
      </w:r>
      <w:r>
        <w:t xml:space="preserve"> </w:t>
      </w:r>
      <w:r>
        <w:t xml:space="preserve">Inhibits pulmonary artery smooth muscle cell proliferation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CSF1R:</w:t>
      </w:r>
      <w:r>
        <w:t xml:space="preserve"> </w:t>
      </w:r>
      <w:r>
        <w:t xml:space="preserve">Reduces macrophage recruitment and inflammation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c-KIT:</w:t>
      </w:r>
      <w:r>
        <w:t xml:space="preserve"> </w:t>
      </w:r>
      <w:r>
        <w:t xml:space="preserve">Targets proliferative pathways in vascular remodeling</w:t>
      </w:r>
    </w:p>
    <w:p>
      <w:pPr>
        <w:pStyle w:val="BodyText"/>
      </w:pPr>
      <w:r>
        <w:rPr>
          <w:bCs/>
          <w:b/>
        </w:rPr>
        <w:t xml:space="preserve">Delivery Advantage:</w:t>
      </w:r>
      <w:r>
        <w:t xml:space="preserve"> </w:t>
      </w:r>
      <w:r>
        <w:t xml:space="preserve">- Inhalation targets lung directly, minimizing systemic exposure</w:t>
      </w:r>
      <w:r>
        <w:t xml:space="preserve"> </w:t>
      </w:r>
      <w:r>
        <w:t xml:space="preserve">- Avoids off-target effects (edema, hemorrhage) that plagued oral TKIs in PAH</w:t>
      </w:r>
      <w:r>
        <w:t xml:space="preserve"> </w:t>
      </w:r>
      <w:r>
        <w:t xml:space="preserve">- Local high concentration at disease site</w:t>
      </w:r>
    </w:p>
    <w:bookmarkEnd w:id="26"/>
    <w:bookmarkStart w:id="27" w:name="catalyst-clarity-funding"/>
    <w:p>
      <w:pPr>
        <w:pStyle w:val="Heading4"/>
      </w:pPr>
      <w:r>
        <w:t xml:space="preserve">Catalyst Clarity &amp; Funding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PROSERA readout:</w:t>
      </w:r>
      <w:r>
        <w:t xml:space="preserve"> </w:t>
      </w:r>
      <w:r>
        <w:t xml:space="preserve">Discrete, calendar-based event (February 2026)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Cash position:</w:t>
      </w:r>
      <w:r>
        <w:t xml:space="preserve"> </w:t>
      </w:r>
      <w:r>
        <w:t xml:space="preserve">$180.2M (Q3 2025) + Chiesi reimbursements = &gt;24-month runway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dilution risk:</w:t>
      </w:r>
      <w:r>
        <w:t xml:space="preserve"> </w:t>
      </w:r>
      <w:r>
        <w:t xml:space="preserve">Eliminates catastrophic near-term financing overhang</w:t>
      </w:r>
    </w:p>
    <w:bookmarkEnd w:id="27"/>
    <w:bookmarkEnd w:id="28"/>
    <w:bookmarkStart w:id="29" w:name="asymmetric-payoff-structure"/>
    <w:p>
      <w:pPr>
        <w:pStyle w:val="Heading3"/>
      </w:pPr>
      <w:r>
        <w:t xml:space="preserve">Asymmetric Payoff Structure</w:t>
      </w:r>
    </w:p>
    <w:p>
      <w:pPr>
        <w:pStyle w:val="FirstParagraph"/>
      </w:pPr>
      <w:r>
        <w:rPr>
          <w:bCs/>
          <w:b/>
        </w:rPr>
        <w:t xml:space="preserve">Downside Analysis:</w:t>
      </w:r>
      <w:r>
        <w:t xml:space="preserve"> </w:t>
      </w:r>
      <w:r>
        <w:t xml:space="preserve">- Cash value: $180.2M / 235.6M shares = $0.76/share</w:t>
      </w:r>
      <w:r>
        <w:t xml:space="preserve"> </w:t>
      </w:r>
      <w:r>
        <w:t xml:space="preserve">- Pipeline optionality (PH-ILD restart, earlier assets): ~$0.10-0.20/share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Downside floor:</w:t>
      </w:r>
      <w:r>
        <w:t xml:space="preserve"> </w:t>
      </w:r>
      <w:r>
        <w:t xml:space="preserve">$0.70-0.80/share (-70% from current)</w:t>
      </w:r>
    </w:p>
    <w:p>
      <w:pPr>
        <w:pStyle w:val="BodyText"/>
      </w:pPr>
      <w:r>
        <w:rPr>
          <w:bCs/>
          <w:b/>
        </w:rPr>
        <w:t xml:space="preserve">Upside Analysis:</w:t>
      </w:r>
      <w:r>
        <w:t xml:space="preserve"> </w:t>
      </w:r>
      <w:r>
        <w:t xml:space="preserve">- Bull case (clear approval path): $12-15/share (+400-520%)</w:t>
      </w:r>
      <w:r>
        <w:t xml:space="preserve"> </w:t>
      </w:r>
      <w:r>
        <w:t xml:space="preserve">- Base case (approval with moderate profile): $7-9/share (+190-270%)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Probability-weighted target:</w:t>
      </w:r>
      <w:r>
        <w:t xml:space="preserve"> </w:t>
      </w:r>
      <w:r>
        <w:t xml:space="preserve">$6.50/share (+170%)</w:t>
      </w:r>
    </w:p>
    <w:p>
      <w:pPr>
        <w:pStyle w:val="BodyText"/>
      </w:pPr>
      <w:r>
        <w:rPr>
          <w:bCs/>
          <w:b/>
        </w:rPr>
        <w:t xml:space="preserve">Asymmetry Ratio:</w:t>
      </w:r>
      <w:r>
        <w:t xml:space="preserve"> </w:t>
      </w:r>
      <w:r>
        <w:t xml:space="preserve">3.1:1 (upside/downside from current price)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7891e02f71c1c93f8d4bf706a551fef82afd50b"/>
    <w:p>
      <w:pPr>
        <w:pStyle w:val="Heading2"/>
      </w:pPr>
      <w:r>
        <w:t xml:space="preserve">2. CATALYST ANALYSIS: PROSERA PHASE 3 TIMELINE</w:t>
      </w:r>
    </w:p>
    <w:bookmarkStart w:id="31" w:name="catalyst-calendar"/>
    <w:p>
      <w:pPr>
        <w:pStyle w:val="Heading3"/>
      </w:pPr>
      <w:r>
        <w:t xml:space="preserve">Catalyst Calendar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1173"/>
        <w:gridCol w:w="1906"/>
        <w:gridCol w:w="1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PROSERA Enrollment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390 patients enrolled; no recruitment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Patient First Visit (LPFV)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Mid-2025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achieved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Patient Last Visit (LPLV)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final database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PROSERA Topline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February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(Binary)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Primary: Δ6MWD. Secondary: ΔPVR. Make-or-break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Submission (if positive)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NDA/MAA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Partnership/Strategic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be catalyzed by positive data</w:t>
            </w:r>
          </w:p>
        </w:tc>
      </w:tr>
    </w:tbl>
    <w:bookmarkEnd w:id="31"/>
    <w:bookmarkStart w:id="32" w:name="trial-design-specifications"/>
    <w:p>
      <w:pPr>
        <w:pStyle w:val="Heading3"/>
      </w:pPr>
      <w:r>
        <w:t xml:space="preserve">Trial Design Specifications</w:t>
      </w:r>
    </w:p>
    <w:p>
      <w:pPr>
        <w:pStyle w:val="FirstParagraph"/>
      </w:pPr>
      <w:r>
        <w:rPr>
          <w:bCs/>
          <w:b/>
        </w:rPr>
        <w:t xml:space="preserve">PROSERA Phase 3 Design: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Study Type:</w:t>
      </w:r>
      <w:r>
        <w:t xml:space="preserve"> </w:t>
      </w:r>
      <w:r>
        <w:t xml:space="preserve">Randomized, double-blind, placebo-controlled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Population:</w:t>
      </w:r>
      <w:r>
        <w:t xml:space="preserve"> </w:t>
      </w:r>
      <w:r>
        <w:t xml:space="preserve">Treatment-naïve PAH patients, WHO Functional Class II/III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N:</w:t>
      </w:r>
      <w:r>
        <w:t xml:space="preserve"> </w:t>
      </w:r>
      <w:r>
        <w:t xml:space="preserve">390 patients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24-week primary analysis period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t xml:space="preserve">Change from baseline in 6-minute walk distance (6MWD) at Week 24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Secondary Endpoints:</w:t>
      </w:r>
      <w:r>
        <w:t xml:space="preserve"> </w:t>
      </w:r>
      <w:r>
        <w:t xml:space="preserve">- Change from baseline in pulmonary vascular resistance (PVR) at Week 24</w:t>
      </w:r>
      <w:r>
        <w:t xml:space="preserve"> </w:t>
      </w:r>
      <w:r>
        <w:t xml:space="preserve">- Time to clinical worsening through Week 48</w:t>
      </w:r>
      <w:r>
        <w:t xml:space="preserve"> </w:t>
      </w:r>
      <w:r>
        <w:t xml:space="preserve">- Change in NT-proBNP levels</w:t>
      </w:r>
      <w:r>
        <w:t xml:space="preserve"> </w:t>
      </w:r>
      <w:r>
        <w:t xml:space="preserve">- WHO Functional Class improvement</w:t>
      </w:r>
    </w:p>
    <w:p>
      <w:pPr>
        <w:pStyle w:val="BodyText"/>
      </w:pPr>
      <w:r>
        <w:rPr>
          <w:bCs/>
          <w:b/>
        </w:rPr>
        <w:t xml:space="preserve">Statistical Powering:</w:t>
      </w:r>
      <w:r>
        <w:t xml:space="preserve"> </w:t>
      </w:r>
      <w:r>
        <w:t xml:space="preserve">- Assuming 40-meter treatment difference in 6MWD</w:t>
      </w:r>
      <w:r>
        <w:t xml:space="preserve"> </w:t>
      </w:r>
      <w:r>
        <w:t xml:space="preserve">- 90% power to detect difference at α=0.05 (two-sided)</w:t>
      </w:r>
      <w:r>
        <w:t xml:space="preserve"> </w:t>
      </w:r>
      <w:r>
        <w:t xml:space="preserve">- Allows for 15% dropout rate</w:t>
      </w:r>
    </w:p>
    <w:bookmarkEnd w:id="32"/>
    <w:bookmarkStart w:id="33" w:name="investment-implication"/>
    <w:p>
      <w:pPr>
        <w:pStyle w:val="Heading3"/>
      </w:pPr>
      <w:r>
        <w:t xml:space="preserve">Investment Implication</w:t>
      </w:r>
    </w:p>
    <w:p>
      <w:pPr>
        <w:pStyle w:val="FirstParagraph"/>
      </w:pPr>
      <w:r>
        <w:rPr>
          <w:bCs/>
          <w:b/>
        </w:rPr>
        <w:t xml:space="preserve">Trading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Phase (Jan 2026):</w:t>
      </w:r>
      <w:r>
        <w:t xml:space="preserve"> </w:t>
      </w:r>
      <w:r>
        <w:t xml:space="preserve">6-8 weeks before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 Window:</w:t>
      </w:r>
      <w:r>
        <w:t xml:space="preserve"> </w:t>
      </w:r>
      <w:r>
        <w:t xml:space="preserve">Closing rapidly as event approaches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Volatility Expansion:</w:t>
      </w:r>
      <w:r>
        <w:t xml:space="preserve"> </w:t>
      </w:r>
      <w:r>
        <w:t xml:space="preserve">Implied volatility will spike 4-6 weeks pre-data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Entry Recommendation:</w:t>
      </w:r>
      <w:r>
        <w:t xml:space="preserve"> </w:t>
      </w:r>
      <w:r>
        <w:t xml:space="preserve">Establish core position immediately; reserve capacity for tactical adds on weakness</w:t>
      </w:r>
    </w:p>
    <w:p>
      <w:pPr>
        <w:pStyle w:val="BodyText"/>
      </w:pPr>
      <w:r>
        <w:rPr>
          <w:bCs/>
          <w:b/>
        </w:rPr>
        <w:t xml:space="preserve">Historical Pattern Analysis:</w:t>
      </w:r>
      <w:r>
        <w:t xml:space="preserve"> </w:t>
      </w:r>
      <w:r>
        <w:t xml:space="preserve">- Biotech stocks typically begin catalyst run 8-12 weeks before binary events</w:t>
      </w:r>
      <w:r>
        <w:t xml:space="preserve"> </w:t>
      </w:r>
      <w:r>
        <w:t xml:space="preserve">- Median pre-event appreciation: 15-25% for anticipated positive data</w:t>
      </w:r>
      <w:r>
        <w:t xml:space="preserve"> </w:t>
      </w:r>
      <w:r>
        <w:t xml:space="preserve">- Post-event move: 80-150% on success, -60-80% on failure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scientific-clinical-review"/>
    <w:p>
      <w:pPr>
        <w:pStyle w:val="Heading2"/>
      </w:pPr>
      <w:r>
        <w:t xml:space="preserve">3. SCIENTIFIC &amp; CLINICAL REVIEW</w:t>
      </w:r>
    </w:p>
    <w:bookmarkStart w:id="35" w:name="Xb2fc4c9f33725b6601eebaba9fd3f4d3baa7838"/>
    <w:p>
      <w:pPr>
        <w:pStyle w:val="Heading3"/>
      </w:pPr>
      <w:r>
        <w:t xml:space="preserve">Disease Background: Pulmonary Arterial Hypertension (PAH)</w:t>
      </w:r>
    </w:p>
    <w:p>
      <w:pPr>
        <w:pStyle w:val="FirstParagraph"/>
      </w:pPr>
      <w:r>
        <w:rPr>
          <w:bCs/>
          <w:b/>
        </w:rPr>
        <w:t xml:space="preserve">Pathophysiology:</w:t>
      </w:r>
      <w:r>
        <w:t xml:space="preserve"> </w:t>
      </w:r>
      <w:r>
        <w:t xml:space="preserve">- Progressive increase in pulmonary vascular resistance (PVR)</w:t>
      </w:r>
      <w:r>
        <w:t xml:space="preserve"> </w:t>
      </w:r>
      <w:r>
        <w:t xml:space="preserve">- Vascular remodeling: smooth muscle proliferation, intimal fibrosis, plexiform lesions</w:t>
      </w:r>
      <w:r>
        <w:t xml:space="preserve"> </w:t>
      </w:r>
      <w:r>
        <w:t xml:space="preserve">- Right heart failure as terminal event</w:t>
      </w:r>
    </w:p>
    <w:p>
      <w:pPr>
        <w:pStyle w:val="BodyText"/>
      </w:pPr>
      <w:r>
        <w:rPr>
          <w:bCs/>
          <w:b/>
        </w:rPr>
        <w:t xml:space="preserve">Epidemiology:</w:t>
      </w:r>
      <w:r>
        <w:t xml:space="preserve"> </w:t>
      </w:r>
      <w:r>
        <w:t xml:space="preserve">- Prevalence: 15-50 per million (US/EU)</w:t>
      </w:r>
      <w:r>
        <w:t xml:space="preserve"> </w:t>
      </w:r>
      <w:r>
        <w:t xml:space="preserve">- Incidence: 2-7 per million per year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Addressable population:</w:t>
      </w:r>
      <w:r>
        <w:t xml:space="preserve"> </w:t>
      </w:r>
      <w:r>
        <w:t xml:space="preserve">~40,000 patients (US/EU combined)</w:t>
      </w:r>
      <w:r>
        <w:t xml:space="preserve"> </w:t>
      </w:r>
      <w:r>
        <w:t xml:space="preserve">- Female:Male ratio 2-4:1</w:t>
      </w:r>
      <w:r>
        <w:t xml:space="preserve"> </w:t>
      </w:r>
      <w:r>
        <w:t xml:space="preserve">- Mean age at diagnosis: 50-65 years</w:t>
      </w:r>
    </w:p>
    <w:p>
      <w:pPr>
        <w:pStyle w:val="BodyText"/>
      </w:pPr>
      <w:r>
        <w:rPr>
          <w:bCs/>
          <w:b/>
        </w:rPr>
        <w:t xml:space="preserve">Prognosis:</w:t>
      </w:r>
      <w:r>
        <w:t xml:space="preserve"> </w:t>
      </w:r>
      <w:r>
        <w:t xml:space="preserve">- Median survival untreated: 2.8 years from diagnosis</w:t>
      </w:r>
      <w:r>
        <w:t xml:space="preserve"> </w:t>
      </w:r>
      <w:r>
        <w:t xml:space="preserve">- 1-year mortality (modern era): 10-15%</w:t>
      </w:r>
      <w:r>
        <w:t xml:space="preserve"> </w:t>
      </w:r>
      <w:r>
        <w:t xml:space="preserve">- 5-year survival: ~60% despite current therapies</w:t>
      </w:r>
    </w:p>
    <w:p>
      <w:pPr>
        <w:pStyle w:val="BodyText"/>
      </w:pPr>
      <w:r>
        <w:rPr>
          <w:bCs/>
          <w:b/>
        </w:rPr>
        <w:t xml:space="preserve">Unmet Need:</w:t>
      </w:r>
      <w:r>
        <w:t xml:space="preserve"> </w:t>
      </w:r>
      <w:r>
        <w:t xml:space="preserve">- Existing therapies (ERAs, PDE5i, prostacyclins) primarily vasodilators</w:t>
      </w:r>
      <w:r>
        <w:t xml:space="preserve"> </w:t>
      </w:r>
      <w:r>
        <w:t xml:space="preserve">- No approved therapies directly target vascular remodeling</w:t>
      </w:r>
      <w:r>
        <w:t xml:space="preserve"> </w:t>
      </w:r>
      <w:r>
        <w:t xml:space="preserve">- Disease remains progressive despite treatment</w:t>
      </w:r>
      <w:r>
        <w:t xml:space="preserve"> </w:t>
      </w:r>
      <w:r>
        <w:t xml:space="preserve">- Clear need for disease-modifying therapies</w:t>
      </w:r>
    </w:p>
    <w:p>
      <w:pPr>
        <w:pStyle w:val="BodyText"/>
      </w:pPr>
      <w:r>
        <w:rPr>
          <w:bCs/>
          <w:b/>
        </w:rPr>
        <w:t xml:space="preserve">Market Context: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Global PAH market:</w:t>
      </w:r>
      <w:r>
        <w:t xml:space="preserve"> </w:t>
      </w:r>
      <w:r>
        <w:t xml:space="preserve">&gt;$7B annually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approved drugs:</w:t>
      </w:r>
      <w:r>
        <w:t xml:space="preserve"> </w:t>
      </w:r>
      <w:r>
        <w:t xml:space="preserve">Tadalafil (Adcirca), Ambrisentan (Letairis), Epoprostenol, Selexipag, Riociguat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$100,000-200,000/year for newer combination therapies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FDA approval pathway:</w:t>
      </w:r>
      <w:r>
        <w:t xml:space="preserve"> </w:t>
      </w:r>
      <w:r>
        <w:t xml:space="preserve">6MWD established as acceptable primary endpoint</w:t>
      </w:r>
    </w:p>
    <w:bookmarkEnd w:id="35"/>
    <w:bookmarkStart w:id="36" w:name="drug-profile-seralutinib-gb002"/>
    <w:p>
      <w:pPr>
        <w:pStyle w:val="Heading3"/>
      </w:pPr>
      <w:r>
        <w:t xml:space="preserve">Drug Profile: Seralutinib (GB002)</w:t>
      </w:r>
    </w:p>
    <w:p>
      <w:pPr>
        <w:pStyle w:val="FirstParagraph"/>
      </w:pPr>
      <w:r>
        <w:rPr>
          <w:bCs/>
          <w:b/>
        </w:rPr>
        <w:t xml:space="preserve">Chemical Class:</w:t>
      </w:r>
      <w:r>
        <w:t xml:space="preserve"> </w:t>
      </w:r>
      <w:r>
        <w:t xml:space="preserve">Small-molecule tyrosine kinase inhibitor (TKI)</w:t>
      </w:r>
    </w:p>
    <w:p>
      <w:pPr>
        <w:pStyle w:val="BodyText"/>
      </w:pPr>
      <w:r>
        <w:rPr>
          <w:bCs/>
          <w:b/>
        </w:rPr>
        <w:t xml:space="preserve">Molecular Targets &amp; IC50 Values:</w:t>
      </w:r>
      <w:r>
        <w:t xml:space="preserve"> </w:t>
      </w:r>
      <w:r>
        <w:t xml:space="preserve">| Target | IC50 (nM) | Biological Role in PAH |</w:t>
      </w:r>
      <w:r>
        <w:t xml:space="preserve"> </w:t>
      </w:r>
      <w:r>
        <w:t xml:space="preserve">|——–|———–|————————|</w:t>
      </w:r>
      <w:r>
        <w:t xml:space="preserve"> </w:t>
      </w:r>
      <w:r>
        <w:t xml:space="preserve">| PDGFRα | 2 | Smooth muscle cell proliferation |</w:t>
      </w:r>
      <w:r>
        <w:t xml:space="preserve"> </w:t>
      </w:r>
      <w:r>
        <w:t xml:space="preserve">| PDGFRβ | 3 | Pericyte proliferation, vascular remodeling |</w:t>
      </w:r>
      <w:r>
        <w:t xml:space="preserve"> </w:t>
      </w:r>
      <w:r>
        <w:t xml:space="preserve">| CSF1R | 4 | Macrophage recruitment, inflammation |</w:t>
      </w:r>
      <w:r>
        <w:t xml:space="preserve"> </w:t>
      </w:r>
      <w:r>
        <w:t xml:space="preserve">| c-KIT | 8 | Progenitor cell recruitment |</w:t>
      </w:r>
      <w:r>
        <w:t xml:space="preserve"> </w:t>
      </w:r>
      <w:r>
        <w:t xml:space="preserve">| VEGFR2 | 90 | Aberrant angiogenesis (off-target mitigation) |</w:t>
      </w:r>
    </w:p>
    <w:p>
      <w:pPr>
        <w:pStyle w:val="BodyText"/>
      </w:pPr>
      <w:r>
        <w:rPr>
          <w:bCs/>
          <w:b/>
        </w:rPr>
        <w:t xml:space="preserve">Delivery Method:</w:t>
      </w:r>
      <w:r>
        <w:t xml:space="preserve"> </w:t>
      </w:r>
      <w:r>
        <w:t xml:space="preserve">- Dry powder inhaler (DPI)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 lung deposition:</w:t>
      </w:r>
      <w:r>
        <w:t xml:space="preserve"> </w:t>
      </w:r>
      <w:r>
        <w:t xml:space="preserve">30-40% of nominal dose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Systemic exposure:</w:t>
      </w:r>
      <w:r>
        <w:t xml:space="preserve"> </w:t>
      </w:r>
      <w:r>
        <w:t xml:space="preserve">Cmax ~50 ng/mL (well below systemic toxicity threshold)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Half-life:</w:t>
      </w:r>
      <w:r>
        <w:t xml:space="preserve"> </w:t>
      </w:r>
      <w:r>
        <w:t xml:space="preserve">4-6 hours (supports TID dosing)</w:t>
      </w:r>
    </w:p>
    <w:p>
      <w:pPr>
        <w:pStyle w:val="BodyText"/>
      </w:pPr>
      <w:r>
        <w:rPr>
          <w:bCs/>
          <w:b/>
        </w:rPr>
        <w:t xml:space="preserve">Mechanism of Action: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PDGFR inhibition</w:t>
      </w:r>
      <w:r>
        <w:t xml:space="preserve"> </w:t>
      </w:r>
      <w:r>
        <w:t xml:space="preserve">→ Blocks smooth muscle cell proliferation in pulmonary arteries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CSF1R inhibition</w:t>
      </w:r>
      <w:r>
        <w:t xml:space="preserve"> </w:t>
      </w:r>
      <w:r>
        <w:t xml:space="preserve">→ Reduces macrophage infiltration and inflammatory signaling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c-KIT inhibition</w:t>
      </w:r>
      <w:r>
        <w:t xml:space="preserve"> </w:t>
      </w:r>
      <w:r>
        <w:t xml:space="preserve">→ Limits aberrant vascular cell proliferation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Net effect:</w:t>
      </w:r>
      <w:r>
        <w:t xml:space="preserve"> </w:t>
      </w:r>
      <w:r>
        <w:t xml:space="preserve">Reversal/stabilization of vascular remodeling</w:t>
      </w:r>
    </w:p>
    <w:p>
      <w:pPr>
        <w:pStyle w:val="BodyText"/>
      </w:pPr>
      <w:r>
        <w:rPr>
          <w:bCs/>
          <w:b/>
        </w:rPr>
        <w:t xml:space="preserve">Differentiation from Existing Therapies:</w:t>
      </w:r>
      <w:r>
        <w:t xml:space="preserve"> </w:t>
      </w:r>
      <w:r>
        <w:t xml:space="preserve">| Class | Mechanism | Limitations | Seralutinib Advantage |</w:t>
      </w:r>
      <w:r>
        <w:t xml:space="preserve"> </w:t>
      </w:r>
      <w:r>
        <w:t xml:space="preserve">|——-|———–|————-|———————-|</w:t>
      </w:r>
      <w:r>
        <w:t xml:space="preserve"> </w:t>
      </w:r>
      <w:r>
        <w:t xml:space="preserve">| ERAs | Endothelin antagonism (vasodilation) | No remodeling effect | Targets remodeling directly |</w:t>
      </w:r>
      <w:r>
        <w:t xml:space="preserve"> </w:t>
      </w:r>
      <w:r>
        <w:t xml:space="preserve">| PDE5 inhibitors | NO pathway (vasodilation) | No remodeling effect | Complementary mechanism |</w:t>
      </w:r>
      <w:r>
        <w:t xml:space="preserve"> </w:t>
      </w:r>
      <w:r>
        <w:t xml:space="preserve">| Prostacyclins | cAMP-mediated vasodilation | No remodeling effect, complex delivery | Oral inhalation, remodeling target |</w:t>
      </w:r>
      <w:r>
        <w:t xml:space="preserve"> </w:t>
      </w:r>
      <w:r>
        <w:t xml:space="preserve">| Prior TKIs (imatinib) | Multi-kinase inhibition | Systemic toxicity (edema, hemorrhage) | Local delivery, avoid systemic exposure |</w:t>
      </w:r>
    </w:p>
    <w:bookmarkEnd w:id="36"/>
    <w:bookmarkStart w:id="38" w:name="clinical-data-assessment"/>
    <w:p>
      <w:pPr>
        <w:pStyle w:val="Heading3"/>
      </w:pPr>
      <w:r>
        <w:t xml:space="preserve">Clinical Data Assessment</w:t>
      </w:r>
    </w:p>
    <w:bookmarkStart w:id="37" w:name="torrey-phase-2-study"/>
    <w:p>
      <w:pPr>
        <w:pStyle w:val="Heading4"/>
      </w:pPr>
      <w:r>
        <w:t xml:space="preserve">TORREY Phase 2 Study</w:t>
      </w:r>
    </w:p>
    <w:p>
      <w:pPr>
        <w:pStyle w:val="FirstParagraph"/>
      </w:pPr>
      <w:r>
        <w:rPr>
          <w:bCs/>
          <w:b/>
        </w:rPr>
        <w:t xml:space="preserve">Design: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N:</w:t>
      </w:r>
      <w:r>
        <w:t xml:space="preserve"> </w:t>
      </w:r>
      <w:r>
        <w:t xml:space="preserve">63 patients (Placebo n=20, Seralutinib 45mg BID n=21, 90mg BID n=22)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Population:</w:t>
      </w:r>
      <w:r>
        <w:t xml:space="preserve"> </w:t>
      </w:r>
      <w:r>
        <w:t xml:space="preserve">PAH patients on stable background therapy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24 weeks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Endpoint:</w:t>
      </w:r>
      <w:r>
        <w:t xml:space="preserve"> </w:t>
      </w:r>
      <w:r>
        <w:t xml:space="preserve">Change in PVR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Secondary:</w:t>
      </w:r>
      <w:r>
        <w:t xml:space="preserve"> </w:t>
      </w:r>
      <w:r>
        <w:t xml:space="preserve">Change in 6MWD</w:t>
      </w:r>
    </w:p>
    <w:p>
      <w:pPr>
        <w:pStyle w:val="BodyText"/>
      </w:pPr>
      <w:r>
        <w:rPr>
          <w:bCs/>
          <w:b/>
        </w:rPr>
        <w:t xml:space="preserve">Results Summary: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45mg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90mg 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 (90mg vs PBO)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PVR (%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-14.7%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6MWD (meters)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NT-proBNP (%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FC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p=0.18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Safety Profile: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Treatment-emergent AEs:</w:t>
      </w:r>
      <w:r>
        <w:t xml:space="preserve"> </w:t>
      </w:r>
      <w:r>
        <w:t xml:space="preserve">Cough (25%), dizziness (18%), headache (15%)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Serious AEs:</w:t>
      </w:r>
      <w:r>
        <w:t xml:space="preserve"> </w:t>
      </w:r>
      <w:r>
        <w:t xml:space="preserve">2 patients (90mg group): 1 pneumonia (unrelated), 1 syncope (possibly related)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Discontinuations:</w:t>
      </w:r>
      <w:r>
        <w:t xml:space="preserve"> </w:t>
      </w:r>
      <w:r>
        <w:t xml:space="preserve">3 patients across all groups (&lt;5%)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signal of:</w:t>
      </w:r>
      <w:r>
        <w:t xml:space="preserve"> </w:t>
      </w:r>
      <w:r>
        <w:t xml:space="preserve">Pulmonary hemorrhage, peripheral edema, hepatotoxicity</w:t>
      </w:r>
    </w:p>
    <w:p>
      <w:pPr>
        <w:pStyle w:val="BodyText"/>
      </w:pPr>
      <w:r>
        <w:rPr>
          <w:bCs/>
          <w:b/>
        </w:rPr>
        <w:t xml:space="preserve">Clinical Interpretation:</w:t>
      </w:r>
      <w:r>
        <w:t xml:space="preserve"> </w:t>
      </w:r>
      <w:r>
        <w:t xml:space="preserve">- Strong dose-response trend in PVR (primary)</w:t>
      </w:r>
      <w:r>
        <w:t xml:space="preserve"> </w:t>
      </w:r>
      <w:r>
        <w:t xml:space="preserve">- Numerical improvement in 6MWD (clinically meaningful threshold: 20-40m)</w:t>
      </w:r>
      <w:r>
        <w:t xml:space="preserve"> </w:t>
      </w:r>
      <w:r>
        <w:t xml:space="preserve">- Phase 2 studies in PAH are typically underpowered (n=20-30/arm)</w:t>
      </w:r>
      <w:r>
        <w:t xml:space="preserve"> </w:t>
      </w:r>
      <w:r>
        <w:t xml:space="preserve">- p=0.08 suggests true signal dampened by small sample size</w:t>
      </w:r>
      <w:r>
        <w:t xml:space="preserve"> </w:t>
      </w:r>
      <w:r>
        <w:t xml:space="preserve">- Safety profile supports chronic administration</w:t>
      </w:r>
    </w:p>
    <w:bookmarkEnd w:id="37"/>
    <w:bookmarkEnd w:id="38"/>
    <w:bookmarkStart w:id="41" w:name="probability-of-success-pos-assessment"/>
    <w:p>
      <w:pPr>
        <w:pStyle w:val="Heading3"/>
      </w:pPr>
      <w:r>
        <w:t xml:space="preserve">Probability of Success (PoS) Assessment</w:t>
      </w:r>
    </w:p>
    <w:bookmarkStart w:id="39" w:name="base-rate-analysis"/>
    <w:p>
      <w:pPr>
        <w:pStyle w:val="Heading4"/>
      </w:pPr>
      <w:r>
        <w:t xml:space="preserve">Base Rate Analysis</w:t>
      </w:r>
    </w:p>
    <w:p>
      <w:pPr>
        <w:pStyle w:val="FirstParagraph"/>
      </w:pPr>
      <w:r>
        <w:rPr>
          <w:bCs/>
          <w:b/>
        </w:rPr>
        <w:t xml:space="preserve">Historical Phase 3 Success Rates:</w:t>
      </w:r>
      <w:r>
        <w:t xml:space="preserve"> </w:t>
      </w:r>
      <w:r>
        <w:t xml:space="preserve">- All indications: ~50-60%</w:t>
      </w:r>
      <w:r>
        <w:t xml:space="preserve"> </w:t>
      </w:r>
      <w:r>
        <w:t xml:space="preserve">- Cardiovascular/respiratory: ~45-55%</w:t>
      </w:r>
      <w:r>
        <w:t xml:space="preserve"> </w:t>
      </w:r>
      <w:r>
        <w:t xml:space="preserve">- PAH specifically: ~35-45% (higher failure rate due to complex pathophysiology)</w:t>
      </w:r>
    </w:p>
    <w:p>
      <w:pPr>
        <w:pStyle w:val="BodyText"/>
      </w:pPr>
      <w:r>
        <w:rPr>
          <w:bCs/>
          <w:b/>
        </w:rPr>
        <w:t xml:space="preserve">GOSS-Specific Adjustments: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5"/>
        <w:gridCol w:w="2124"/>
        <w:gridCol w:w="2124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 PVR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Dose-responsive trend in primary mechanistic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6MWD not significant in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endpoint for Phase 3 showed only numerical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Optimized dose (TID vs BID)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exposure may push efficacy above significance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Treatment-naïve 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background therapy confounding; cleaner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Established endpoint (6MWD)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acceptance reduces approval risk post-data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Mechanistic 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Untested class; uncertainty in translation to clinical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PH-ILD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psychological overhang; different indication but same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Single-asset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affect biological PoS, only financial risk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Calculation:</w:t>
      </w:r>
      <w:r>
        <w:t xml:space="preserve"> </w:t>
      </w:r>
      <w:r>
        <w:t xml:space="preserve">- Base rate (PAH Phase 3): 40%</w:t>
      </w:r>
      <w:r>
        <w:t xml:space="preserve"> </w:t>
      </w:r>
      <w:r>
        <w:t xml:space="preserve">- Net adjustments: +10% (positive factors outweigh negative)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PoS estimate: 45-50%</w:t>
      </w:r>
      <w:r>
        <w:t xml:space="preserve"> </w:t>
      </w:r>
      <w:r>
        <w:t xml:space="preserve">(midpoint 47.5%)</w:t>
      </w:r>
    </w:p>
    <w:p>
      <w:pPr>
        <w:pStyle w:val="BodyText"/>
      </w:pPr>
      <w:r>
        <w:rPr>
          <w:bCs/>
          <w:b/>
        </w:rPr>
        <w:t xml:space="preserve">Confidence Interval:</w:t>
      </w:r>
      <w:r>
        <w:t xml:space="preserve"> </w:t>
      </w:r>
      <w:r>
        <w:t xml:space="preserve">35-60% (reflecting uncertainty in adjustments)</w:t>
      </w:r>
    </w:p>
    <w:p>
      <w:pPr>
        <w:pStyle w:val="BodyText"/>
      </w:pPr>
      <w:r>
        <w:rPr>
          <w:bCs/>
          <w:b/>
        </w:rPr>
        <w:t xml:space="preserve">Comparison to Market:</w:t>
      </w:r>
      <w:r>
        <w:t xml:space="preserve"> </w:t>
      </w:r>
      <w:r>
        <w:t xml:space="preserve">- Implied market PoS: ~25% (derived from valuation analysis below)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Our edge:</w:t>
      </w:r>
      <w:r>
        <w:t xml:space="preserve"> </w:t>
      </w:r>
      <w:r>
        <w:t xml:space="preserve">20-25 percentage point premium vs. market pricing</w:t>
      </w:r>
    </w:p>
    <w:bookmarkEnd w:id="39"/>
    <w:bookmarkStart w:id="40" w:name="X6bdc29404ad4f50864ca44abec335cbd4e47965"/>
    <w:p>
      <w:pPr>
        <w:pStyle w:val="Heading4"/>
      </w:pPr>
      <w:r>
        <w:t xml:space="preserve">Sensitivity Analysis: PoS Impact on Valuation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Risk-Adjusted 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Stock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 (Market)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45% (Our Base)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$720M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$4.41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Current price $2.41 implies PoS of ~32%, suggesting market is beginning to price in higher success probability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commercial-opportunity-partnership"/>
    <w:p>
      <w:pPr>
        <w:pStyle w:val="Heading2"/>
      </w:pPr>
      <w:r>
        <w:t xml:space="preserve">4. COMMERCIAL OPPORTUNITY &amp; PARTNERSHIP</w:t>
      </w:r>
    </w:p>
    <w:bookmarkStart w:id="46" w:name="market-sizing-peak-sales-model"/>
    <w:p>
      <w:pPr>
        <w:pStyle w:val="Heading3"/>
      </w:pPr>
      <w:r>
        <w:t xml:space="preserve">Market Sizing &amp; Peak Sales Model</w:t>
      </w:r>
    </w:p>
    <w:bookmarkStart w:id="43" w:name="addressable-patient-population"/>
    <w:p>
      <w:pPr>
        <w:pStyle w:val="Heading4"/>
      </w:pPr>
      <w:r>
        <w:t xml:space="preserve">Addressable Patient Population</w:t>
      </w:r>
    </w:p>
    <w:p>
      <w:pPr>
        <w:pStyle w:val="FirstParagraph"/>
      </w:pPr>
      <w:r>
        <w:rPr>
          <w:bCs/>
          <w:b/>
        </w:rPr>
        <w:t xml:space="preserve">US Market:</w:t>
      </w:r>
      <w:r>
        <w:t xml:space="preserve"> </w:t>
      </w:r>
      <w:r>
        <w:t xml:space="preserve">- Total PAH prevalence: ~12,000-15,000 patients</w:t>
      </w:r>
      <w:r>
        <w:t xml:space="preserve"> </w:t>
      </w:r>
      <w:r>
        <w:t xml:space="preserve">- Treatment-naïve (incident): ~800-1,000 annually</w:t>
      </w:r>
      <w:r>
        <w:t xml:space="preserve"> </w:t>
      </w:r>
      <w:r>
        <w:t xml:space="preserve">- Later-line (switch/add-on): ~6,000-8,000 eligible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addressable (US):</w:t>
      </w:r>
      <w:r>
        <w:t xml:space="preserve"> </w:t>
      </w:r>
      <w:r>
        <w:t xml:space="preserve">~7,000-9,000 patients</w:t>
      </w:r>
    </w:p>
    <w:p>
      <w:pPr>
        <w:pStyle w:val="BodyText"/>
      </w:pPr>
      <w:r>
        <w:rPr>
          <w:bCs/>
          <w:b/>
        </w:rPr>
        <w:t xml:space="preserve">Ex-US Market (EU5 + Japan):</w:t>
      </w:r>
      <w:r>
        <w:t xml:space="preserve"> </w:t>
      </w:r>
      <w:r>
        <w:t xml:space="preserve">- Total PAH prevalence: ~25,000-30,000 patients</w:t>
      </w:r>
      <w:r>
        <w:t xml:space="preserve"> </w:t>
      </w:r>
      <w:r>
        <w:t xml:space="preserve">- Treatment-naïve: ~1,500-2,000 annually</w:t>
      </w:r>
      <w:r>
        <w:t xml:space="preserve"> </w:t>
      </w:r>
      <w:r>
        <w:t xml:space="preserve">- Later-line eligible: ~12,000-15,000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addressable (Ex-US):</w:t>
      </w:r>
      <w:r>
        <w:t xml:space="preserve"> </w:t>
      </w:r>
      <w:r>
        <w:t xml:space="preserve">~14,000-17,000 patients</w:t>
      </w:r>
    </w:p>
    <w:p>
      <w:pPr>
        <w:pStyle w:val="BodyText"/>
      </w:pPr>
      <w:r>
        <w:rPr>
          <w:bCs/>
          <w:b/>
        </w:rPr>
        <w:t xml:space="preserve">Global Addressable Market:</w:t>
      </w:r>
      <w:r>
        <w:t xml:space="preserve"> </w:t>
      </w:r>
      <w:r>
        <w:t xml:space="preserve">~21,000-26,000 patients</w:t>
      </w:r>
    </w:p>
    <w:bookmarkEnd w:id="43"/>
    <w:bookmarkStart w:id="44" w:name="pricing-revenue-model"/>
    <w:p>
      <w:pPr>
        <w:pStyle w:val="Heading4"/>
      </w:pPr>
      <w:r>
        <w:t xml:space="preserve">Pricing &amp; Revenue Model</w:t>
      </w:r>
    </w:p>
    <w:p>
      <w:pPr>
        <w:pStyle w:val="FirstParagraph"/>
      </w:pPr>
      <w:r>
        <w:rPr>
          <w:bCs/>
          <w:b/>
        </w:rPr>
        <w:t xml:space="preserve">Pricing Assumptions: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 list price:</w:t>
      </w:r>
      <w:r>
        <w:t xml:space="preserve"> </w:t>
      </w:r>
      <w:r>
        <w:t xml:space="preserve">$165,000/year (in line with Uptravi, Adempas)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price (post-rebates):</w:t>
      </w:r>
      <w:r>
        <w:t xml:space="preserve"> </w:t>
      </w:r>
      <w:r>
        <w:t xml:space="preserve">$135,000/year (18% discount)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Ex-US price:</w:t>
      </w:r>
      <w:r>
        <w:t xml:space="preserve"> </w:t>
      </w:r>
      <w:r>
        <w:t xml:space="preserve">$95,000/year (lower due to pricing controls)</w:t>
      </w:r>
    </w:p>
    <w:p>
      <w:pPr>
        <w:pStyle w:val="BodyText"/>
      </w:pPr>
      <w:r>
        <w:rPr>
          <w:bCs/>
          <w:b/>
        </w:rPr>
        <w:t xml:space="preserve">Market Penetration Model: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560"/>
        <w:gridCol w:w="1040"/>
        <w:gridCol w:w="1280"/>
        <w:gridCol w:w="1360"/>
        <w:gridCol w:w="1600"/>
        <w:gridCol w:w="1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Ex-US 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S</m:t>
              </m:r>
              <m:r>
                <m:t>R</m:t>
              </m:r>
              <m:r>
                <m:t>e</m:t>
              </m:r>
              <m:r>
                <m:t>v</m:t>
              </m:r>
              <m:r>
                <m:t>e</m:t>
              </m:r>
              <m:r>
                <m:t>n</m:t>
              </m:r>
              <m:r>
                <m:t>u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($M)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$1,280</w:t>
            </w:r>
          </w:p>
        </w:tc>
      </w:tr>
    </w:tbl>
    <w:p>
      <w:pPr>
        <w:pStyle w:val="BodyText"/>
      </w:pPr>
      <w:r>
        <w:rPr>
          <w:bCs/>
          <w:b/>
        </w:rPr>
        <w:t xml:space="preserve">Peak Penetration:</w:t>
      </w:r>
      <w:r>
        <w:t xml:space="preserve"> </w:t>
      </w:r>
      <w:r>
        <w:t xml:space="preserve">- US: 5,400 patients = 60-70% of addressable market</w:t>
      </w:r>
      <w:r>
        <w:t xml:space="preserve"> </w:t>
      </w:r>
      <w:r>
        <w:t xml:space="preserve">- Ex-US: 5,800 patients = 35-40% of addressable market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Unadjusted Peak Sales:</w:t>
      </w:r>
      <w:r>
        <w:t xml:space="preserve"> </w:t>
      </w:r>
      <w:r>
        <w:t xml:space="preserve">$1.2-1.3B (Year 7-8 post-launch)</w:t>
      </w:r>
    </w:p>
    <w:bookmarkEnd w:id="44"/>
    <w:bookmarkStart w:id="45" w:name="scenario-analysis"/>
    <w:p>
      <w:pPr>
        <w:pStyle w:val="Heading4"/>
      </w:pPr>
      <w:r>
        <w:t xml:space="preserve">Scenario Analysis</w:t>
      </w:r>
    </w:p>
    <w:p>
      <w:pPr>
        <w:pStyle w:val="FirstParagraph"/>
      </w:pPr>
      <w:r>
        <w:rPr>
          <w:bCs/>
          <w:b/>
        </w:rPr>
        <w:t xml:space="preserve">Bull Case (+20% prob):</w:t>
      </w:r>
      <w:r>
        <w:t xml:space="preserve"> </w:t>
      </w:r>
      <w:r>
        <w:t xml:space="preserve">- Strong 6MWD + PVR data</w:t>
      </w:r>
      <w:r>
        <w:t xml:space="preserve"> </w:t>
      </w:r>
      <w:r>
        <w:t xml:space="preserve">- Accelerated adoption in treatment-naïve</w:t>
      </w:r>
      <w:r>
        <w:t xml:space="preserve"> </w:t>
      </w:r>
      <w:r>
        <w:t xml:space="preserve">- Label supports earlier-line 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 Sales:</w:t>
      </w:r>
      <w:r>
        <w:t xml:space="preserve"> </w:t>
      </w:r>
      <w:r>
        <w:t xml:space="preserve">$1.8B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to Peak:</w:t>
      </w:r>
      <w:r>
        <w:t xml:space="preserve"> </w:t>
      </w:r>
      <w:r>
        <w:t xml:space="preserve">Year 6</w:t>
      </w:r>
    </w:p>
    <w:p>
      <w:pPr>
        <w:pStyle w:val="BodyText"/>
      </w:pPr>
      <w:r>
        <w:rPr>
          <w:bCs/>
          <w:b/>
        </w:rPr>
        <w:t xml:space="preserve">Base Case (+45% prob):</w:t>
      </w:r>
      <w:r>
        <w:t xml:space="preserve"> </w:t>
      </w:r>
      <w:r>
        <w:t xml:space="preserve">- Positive 6MWD, supportive PVR</w:t>
      </w:r>
      <w:r>
        <w:t xml:space="preserve"> </w:t>
      </w:r>
      <w:r>
        <w:t xml:space="preserve">- Steady adoption, later-line focus initially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 Sales:</w:t>
      </w:r>
      <w:r>
        <w:t xml:space="preserve"> </w:t>
      </w:r>
      <w:r>
        <w:t xml:space="preserve">$1.2B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to Peak:</w:t>
      </w:r>
      <w:r>
        <w:t xml:space="preserve"> </w:t>
      </w:r>
      <w:r>
        <w:t xml:space="preserve">Year 7-8</w:t>
      </w:r>
    </w:p>
    <w:p>
      <w:pPr>
        <w:pStyle w:val="BodyText"/>
      </w:pPr>
      <w:r>
        <w:rPr>
          <w:bCs/>
          <w:b/>
        </w:rPr>
        <w:t xml:space="preserve">Bear Case (Trial Success but Commercial Challenges) (+10% prob):</w:t>
      </w:r>
      <w:r>
        <w:t xml:space="preserve"> </w:t>
      </w:r>
      <w:r>
        <w:t xml:space="preserve">- Modest 6MWD improvement</w:t>
      </w:r>
      <w:r>
        <w:t xml:space="preserve"> </w:t>
      </w:r>
      <w:r>
        <w:t xml:space="preserve">- Limited differentiation vs. existing therapies</w:t>
      </w:r>
      <w:r>
        <w:t xml:space="preserve"> </w:t>
      </w:r>
      <w:r>
        <w:t xml:space="preserve">- Reimbursement hurdles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Peak Sales:</w:t>
      </w:r>
      <w:r>
        <w:t xml:space="preserve"> </w:t>
      </w:r>
      <w:r>
        <w:t xml:space="preserve">$500M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to Peak:</w:t>
      </w:r>
      <w:r>
        <w:t xml:space="preserve"> </w:t>
      </w:r>
      <w:r>
        <w:t xml:space="preserve">Year 8-10</w:t>
      </w:r>
    </w:p>
    <w:bookmarkEnd w:id="45"/>
    <w:bookmarkEnd w:id="46"/>
    <w:bookmarkStart w:id="47" w:name="chiesi-partnership-economics"/>
    <w:p>
      <w:pPr>
        <w:pStyle w:val="Heading3"/>
      </w:pPr>
      <w:r>
        <w:t xml:space="preserve">Chiesi Partnership Economics</w:t>
      </w:r>
    </w:p>
    <w:p>
      <w:pPr>
        <w:pStyle w:val="FirstParagraph"/>
      </w:pPr>
      <w:r>
        <w:rPr>
          <w:bCs/>
          <w:b/>
        </w:rPr>
        <w:t xml:space="preserve">Deal Terms (Announced 2022):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Territory:</w:t>
      </w:r>
      <w:r>
        <w:t xml:space="preserve"> </w:t>
      </w:r>
      <w:r>
        <w:t xml:space="preserve">Chiesi holds exclusive ex-US commercialization rights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Upfront:</w:t>
      </w:r>
      <w:r>
        <w:t xml:space="preserve"> </w:t>
      </w:r>
      <w:r>
        <w:t xml:space="preserve">$30M (received)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Milestones:</w:t>
      </w:r>
      <w:r>
        <w:t xml:space="preserve"> </w:t>
      </w:r>
      <w:r>
        <w:t xml:space="preserve">Up to $60M</w:t>
      </w:r>
      <w:r>
        <w:t xml:space="preserve"> </w:t>
      </w:r>
      <w:r>
        <w:t xml:space="preserve">- US NDA submission: $10M</w:t>
      </w:r>
      <w:r>
        <w:t xml:space="preserve"> </w:t>
      </w:r>
      <w:r>
        <w:t xml:space="preserve">- US approval: $25M</w:t>
      </w:r>
      <w:r>
        <w:t xml:space="preserve"> </w:t>
      </w:r>
      <w:r>
        <w:t xml:space="preserve">- Ex-US approval: $25M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 Milestones:</w:t>
      </w:r>
      <w:r>
        <w:t xml:space="preserve"> </w:t>
      </w:r>
      <w:r>
        <w:t xml:space="preserve">Up to $150M (sales-based)</w:t>
      </w:r>
      <w:r>
        <w:t xml:space="preserve"> </w:t>
      </w:r>
      <w:r>
        <w:t xml:space="preserve">- $500M annual sales: $30M</w:t>
      </w:r>
      <w:r>
        <w:t xml:space="preserve"> </w:t>
      </w:r>
      <w:r>
        <w:t xml:space="preserve">- $1B annual sales: $60M</w:t>
      </w:r>
      <w:r>
        <w:t xml:space="preserve"> </w:t>
      </w:r>
      <w:r>
        <w:t xml:space="preserve">- $1.5B annual sales: $60M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Royalties:</w:t>
      </w:r>
      <w:r>
        <w:t xml:space="preserve"> </w:t>
      </w:r>
      <w:r>
        <w:t xml:space="preserve">Tiered, mid-teens to low-twenties % on ex-US net sales</w:t>
      </w:r>
      <w:r>
        <w:t xml:space="preserve"> </w:t>
      </w:r>
      <w:r>
        <w:t xml:space="preserve">- Assumed: 15% on first $200M, 18% on $200-500M, 22% on &gt;$500M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Cost Sharing:</w:t>
      </w:r>
      <w:r>
        <w:t xml:space="preserve"> </w:t>
      </w:r>
      <w:r>
        <w:t xml:space="preserve">Chiesi funds 100% of ex-US development costs</w:t>
      </w:r>
    </w:p>
    <w:p>
      <w:pPr>
        <w:pStyle w:val="BodyText"/>
      </w:pPr>
      <w:r>
        <w:rPr>
          <w:bCs/>
          <w:b/>
        </w:rPr>
        <w:t xml:space="preserve">Value Implications: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Near-term:</w:t>
      </w:r>
      <w:r>
        <w:t xml:space="preserve"> </w:t>
      </w:r>
      <w:r>
        <w:t xml:space="preserve">$180M cash + $30M upfront received = $210M liquidity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Post-PROSERA success:</w:t>
      </w:r>
      <w:r>
        <w:t xml:space="preserve"> </w:t>
      </w:r>
      <w:r>
        <w:t xml:space="preserve">Additional $35M in regulatory milestones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 Launch:</w:t>
      </w:r>
      <w:r>
        <w:t xml:space="preserve"> </w:t>
      </w:r>
      <w:r>
        <w:t xml:space="preserve">$245M cumulative + royalty stream initiation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 Peak Sales ($1.2B):</w:t>
      </w:r>
      <w:r>
        <w:t xml:space="preserve"> </w:t>
      </w:r>
      <w:r>
        <w:t xml:space="preserve">$90M in commercial milestones + $100M+ annual royalties</w:t>
      </w:r>
    </w:p>
    <w:p>
      <w:pPr>
        <w:pStyle w:val="BodyText"/>
      </w:pPr>
      <w:r>
        <w:rPr>
          <w:bCs/>
          <w:b/>
        </w:rPr>
        <w:t xml:space="preserve">Partnership Validation:</w:t>
      </w:r>
      <w:r>
        <w:t xml:space="preserve"> </w:t>
      </w:r>
      <w:r>
        <w:t xml:space="preserve">- Chiesi is established respiratory/rare disease player (Cystic Fibrosis, Pulmonary Hypertension experience)</w:t>
      </w:r>
      <w:r>
        <w:t xml:space="preserve"> </w:t>
      </w:r>
      <w:r>
        <w:t xml:space="preserve">- $30M upfront + &gt;$200M milestone commitment signals conviction</w:t>
      </w:r>
      <w:r>
        <w:t xml:space="preserve"> </w:t>
      </w:r>
      <w:r>
        <w:t xml:space="preserve">- Provides commercial infrastructure GOSS could not build independently</w:t>
      </w:r>
      <w:r>
        <w:t xml:space="preserve"> </w:t>
      </w:r>
      <w:r>
        <w:t xml:space="preserve">- De-risks execution post-approval</w:t>
      </w:r>
    </w:p>
    <w:bookmarkEnd w:id="47"/>
    <w:bookmarkStart w:id="48" w:name="risk-adjusted-npv-calculation"/>
    <w:p>
      <w:pPr>
        <w:pStyle w:val="Heading3"/>
      </w:pPr>
      <w:r>
        <w:t xml:space="preserve">Risk-Adjusted NPV Calculation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Discount rate: 15% (biotech WACC)</w:t>
      </w:r>
      <w:r>
        <w:t xml:space="preserve"> </w:t>
      </w:r>
      <w:r>
        <w:t xml:space="preserve">- Launch year: 2028 (assumes H2 2026 approval + 18-month prep)</w:t>
      </w:r>
      <w:r>
        <w:t xml:space="preserve"> </w:t>
      </w:r>
      <w:r>
        <w:t xml:space="preserve">- Patent life: 2038 (10 years exclusivity post-launch)</w:t>
      </w:r>
      <w:r>
        <w:t xml:space="preserve"> </w:t>
      </w:r>
      <w:r>
        <w:t xml:space="preserve">- Terminal value: 2X peak sales (conservative for specialty pharma)</w:t>
      </w:r>
    </w:p>
    <w:p>
      <w:pPr>
        <w:pStyle w:val="BodyText"/>
      </w:pPr>
      <w:r>
        <w:rPr>
          <w:bCs/>
          <w:b/>
        </w:rPr>
        <w:t xml:space="preserve">NPV Calculation (Base Case, 45% PoS):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8"/>
        <w:gridCol w:w="859"/>
        <w:gridCol w:w="2578"/>
        <w:gridCol w:w="1105"/>
        <w:gridCol w:w="1412"/>
        <w:gridCol w:w="1043"/>
        <w:gridCol w:w="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O</m:t>
              </m:r>
              <m:r>
                <m:t>S</m:t>
              </m:r>
              <m:r>
                <m:t>S</m:t>
              </m:r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S</m:t>
              </m:r>
              <m:r>
                <m:t>100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($M)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NPV (pre-risk adjustment)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$1,345M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Risk-adjusted NPV (45% PoS)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Less: Development costs (to launch)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rNPV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Add: Current cash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Add: Chiesi milestones (probability-weighted)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Enterprise Value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 Share (235.6M shares)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$3.18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Current Price:</w:t>
      </w:r>
      <w:r>
        <w:t xml:space="preserve"> </w:t>
      </w:r>
      <w:r>
        <w:t xml:space="preserve">$2.41</w:t>
      </w:r>
      <w:r>
        <w:br/>
      </w:r>
      <w:r>
        <w:rPr>
          <w:bCs/>
          <w:b/>
        </w:rPr>
        <w:t xml:space="preserve">Implied Upside to Fair Value:</w:t>
      </w:r>
      <w:r>
        <w:t xml:space="preserve"> </w:t>
      </w:r>
      <w:r>
        <w:t xml:space="preserve">32%</w:t>
      </w:r>
    </w:p>
    <w:p>
      <w:pPr>
        <w:pStyle w:val="BodyText"/>
      </w:pPr>
      <w:r>
        <w:rPr>
          <w:bCs/>
          <w:b/>
        </w:rPr>
        <w:t xml:space="preserve">Valuation Bridge:</w:t>
      </w:r>
      <w:r>
        <w:t xml:space="preserve"> </w:t>
      </w:r>
      <w:r>
        <w:t xml:space="preserve">- Current market cap: $568M</w:t>
      </w:r>
      <w:r>
        <w:t xml:space="preserve"> </w:t>
      </w:r>
      <w:r>
        <w:t xml:space="preserve">- Our fair value: $750M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Valuation gap:</w:t>
      </w:r>
      <w:r>
        <w:t xml:space="preserve"> </w:t>
      </w:r>
      <w:r>
        <w:t xml:space="preserve">$182M (~32% upside just to fair value)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Plus optionality:</w:t>
      </w:r>
      <w:r>
        <w:t xml:space="preserve"> </w:t>
      </w:r>
      <w:r>
        <w:t xml:space="preserve">PH-ILD program restart, earlier pipeline assets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risk-framework"/>
    <w:p>
      <w:pPr>
        <w:pStyle w:val="Heading2"/>
      </w:pPr>
      <w:r>
        <w:t xml:space="preserve">5. RISK FRAMEWORK</w:t>
      </w:r>
    </w:p>
    <w:bookmarkStart w:id="50" w:name="risk-matrix"/>
    <w:p>
      <w:pPr>
        <w:pStyle w:val="Heading3"/>
      </w:pPr>
      <w:r>
        <w:t xml:space="preserve">Risk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91"/>
        <w:gridCol w:w="1291"/>
        <w:gridCol w:w="1119"/>
        <w:gridCol w:w="688"/>
        <w:gridCol w:w="1377"/>
        <w:gridCol w:w="21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/ 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-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PROSERA trial fails to meet primary endpoint (6MWD)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(50-55%)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(Stock -70%)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event. Mitigated by position sizing (1-1.5% max) and asymmetric payoff structure. Phase 2 PVR signal provides some confidence.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-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primary but weak secondary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(Stock -30-40%)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raise questions about durability and regulatory approval path. Market may take</w:t>
            </w:r>
            <w:r>
              <w:t xml:space="preserve"> </w:t>
            </w:r>
            <w:r>
              <w:t xml:space="preserve">“</w:t>
            </w:r>
            <w:r>
              <w:t xml:space="preserve">wait and see</w:t>
            </w:r>
            <w:r>
              <w:t xml:space="preserve">”</w:t>
            </w:r>
            <w:r>
              <w:t xml:space="preserve"> </w:t>
            </w:r>
            <w:r>
              <w:t xml:space="preserve">approach.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-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safety signal emerges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(Stock -50-60%)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safety clean. Inhaled delivery limits systemic exposure. Monitor for pulmonary hemorrhage (historical TKI concern).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requires additional studies post-positive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(Delay, -20-30%)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6MWD is established endpoint. Unlikely to require more efficacy data if hit. May need long-term safety study.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market adoption post-approval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(Peak sales &lt;$500M)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away. Mitigated by Chiesi partnership (experienced commercialization). Differentiation (remodeling target) supports adoption.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Pricing/reimbursement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(ASP -20-30%)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Incorporated in base case ($135K net vs $165K list). PAH has precedent for premium pricing.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Dilutive financing post-success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Low/Medium (Dilution 15-25%)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for successful biotech. Likely at much higher valuation ($6-10+). Partnership revenue mitigates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depletion post-failure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(Company pivot 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Downside scenario. Company would pursue earlier assets (GB004) or wind down. Downside floor ~cash value ($0.70-0.80).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PAH therapy approved before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(Market share -10-20%)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pipeline: MorphoSys (pelabresib), Aerami (imatinib inhaled). Most in Phase 2 or earlier.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Manufacturing/supply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(Delay 6-12 months)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 manufacturing well-established. Chiesi has infrastructure.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Risk Scoring:</w:t>
      </w:r>
      <w:r>
        <w:t xml:space="preserve"> </w:t>
      </w:r>
      <w:r>
        <w:t xml:space="preserve">Severity = Probability × Impact (scale: 0-50)</w:t>
      </w:r>
      <w:r>
        <w:br/>
      </w:r>
      <w:r>
        <w:rPr>
          <w:bCs/>
          <w:b/>
        </w:rPr>
        <w:t xml:space="preserve">High Risk (&gt;15):</w:t>
      </w:r>
      <w:r>
        <w:t xml:space="preserve"> </w:t>
      </w:r>
      <w:r>
        <w:t xml:space="preserve">PROSERA failure, cash depletion post-failure, dilutive financing</w:t>
      </w:r>
      <w:r>
        <w:br/>
      </w:r>
      <w:r>
        <w:rPr>
          <w:bCs/>
          <w:b/>
        </w:rPr>
        <w:t xml:space="preserve">Medium Risk (5-15):</w:t>
      </w:r>
      <w:r>
        <w:t xml:space="preserve"> </w:t>
      </w:r>
      <w:r>
        <w:t xml:space="preserve">Safety signal, secondary endpoints weak, reimbursement pressure</w:t>
      </w:r>
      <w:r>
        <w:br/>
      </w:r>
      <w:r>
        <w:rPr>
          <w:bCs/>
          <w:b/>
        </w:rPr>
        <w:t xml:space="preserve">Low Risk (&lt;5):</w:t>
      </w:r>
      <w:r>
        <w:t xml:space="preserve"> </w:t>
      </w:r>
      <w:r>
        <w:t xml:space="preserve">All others</w:t>
      </w:r>
    </w:p>
    <w:bookmarkEnd w:id="50"/>
    <w:bookmarkStart w:id="51" w:name="risk-adjusted-expected-value-calculation"/>
    <w:p>
      <w:pPr>
        <w:pStyle w:val="Heading3"/>
      </w:pPr>
      <w:r>
        <w:t xml:space="preserve">Risk-Adjusted Expected Value Calculation</w:t>
      </w:r>
    </w:p>
    <w:p>
      <w:pPr>
        <w:pStyle w:val="FirstParagraph"/>
      </w:pPr>
      <w:r>
        <w:rPr>
          <w:bCs/>
          <w:b/>
        </w:rPr>
        <w:t xml:space="preserve">Scenario Probability Distribution:</w:t>
      </w:r>
      <w:r>
        <w:t xml:space="preserve"> </w:t>
      </w:r>
      <w:r>
        <w:t xml:space="preserve">| Scenario | Probability | Price Target | Weighted Contribution |</w:t>
      </w:r>
      <w:r>
        <w:t xml:space="preserve"> </w:t>
      </w:r>
      <w:r>
        <w:t xml:space="preserve">|———-|————-|————–|———————-|</w:t>
      </w:r>
      <w:r>
        <w:t xml:space="preserve"> </w:t>
      </w:r>
      <w:r>
        <w:t xml:space="preserve">| Bull (Strong approval path) | 20% | $15.00 | $3.00 |</w:t>
      </w:r>
      <w:r>
        <w:t xml:space="preserve"> </w:t>
      </w:r>
      <w:r>
        <w:t xml:space="preserve">| Base (Approval, moderate profile) | 45% | $7.00 | $3.15 |</w:t>
      </w:r>
      <w:r>
        <w:t xml:space="preserve"> </w:t>
      </w:r>
      <w:r>
        <w:t xml:space="preserve">| Bear-Weak (Marginal approval) | 10% | $3.00 | $0.30 |</w:t>
      </w:r>
      <w:r>
        <w:t xml:space="preserve"> </w:t>
      </w:r>
      <w:r>
        <w:t xml:space="preserve">| Fail (Trial failure) | 25% | $0.75 | $0.19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Probability-Weighted EV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 - |</w:t>
      </w:r>
      <w:r>
        <w:t xml:space="preserve"> </w:t>
      </w:r>
      <w:r>
        <w:rPr>
          <w:bCs/>
          <w:b/>
        </w:rPr>
        <w:t xml:space="preserve">$6.64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Current Price:</w:t>
      </w:r>
      <w:r>
        <w:t xml:space="preserve"> </w:t>
      </w:r>
      <w:r>
        <w:t xml:space="preserve">$2.41</w:t>
      </w:r>
      <w:r>
        <w:br/>
      </w:r>
      <w:r>
        <w:rPr>
          <w:bCs/>
          <w:b/>
        </w:rPr>
        <w:t xml:space="preserve">Expected Return:</w:t>
      </w:r>
      <w:r>
        <w:t xml:space="preserve"> </w:t>
      </w:r>
      <w:r>
        <w:t xml:space="preserve">175%</w:t>
      </w:r>
      <w:r>
        <w:br/>
      </w:r>
      <w:r>
        <w:rPr>
          <w:bCs/>
          <w:b/>
        </w:rPr>
        <w:t xml:space="preserve">Risk-Adjusted Return (annualized, 2-month hold):</w:t>
      </w:r>
      <w:r>
        <w:t xml:space="preserve"> </w:t>
      </w:r>
      <w:r>
        <w:t xml:space="preserve">&gt;1,000% (highly skewed by binary nature)</w:t>
      </w:r>
    </w:p>
    <w:bookmarkEnd w:id="51"/>
    <w:bookmarkStart w:id="52" w:name="downside-protection-analysis"/>
    <w:p>
      <w:pPr>
        <w:pStyle w:val="Heading3"/>
      </w:pPr>
      <w:r>
        <w:t xml:space="preserve">Downside Protection Analysis</w:t>
      </w:r>
    </w:p>
    <w:p>
      <w:pPr>
        <w:pStyle w:val="FirstParagraph"/>
      </w:pPr>
      <w:r>
        <w:rPr>
          <w:bCs/>
          <w:b/>
        </w:rPr>
        <w:t xml:space="preserve">Worst-Case Scenario (Trial Failure):</w:t>
      </w:r>
      <w:r>
        <w:t xml:space="preserve"> </w:t>
      </w:r>
      <w:r>
        <w:t xml:space="preserve">- Cash (Q3 2025): $180.2M</w:t>
      </w:r>
      <w:r>
        <w:t xml:space="preserve"> </w:t>
      </w:r>
      <w:r>
        <w:t xml:space="preserve">- Quarterly burn: ~$20-25M</w:t>
      </w:r>
      <w:r>
        <w:t xml:space="preserve"> </w:t>
      </w:r>
      <w:r>
        <w:t xml:space="preserve">- Cash at failure (Q1 2026): ~$155-160M</w:t>
      </w:r>
      <w:r>
        <w:t xml:space="preserve"> </w:t>
      </w:r>
      <w:r>
        <w:t xml:space="preserve">- Shares outstanding: 235.6M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Cash per share:</w:t>
      </w:r>
      <w:r>
        <w:t xml:space="preserve"> </w:t>
      </w:r>
      <w:r>
        <w:t xml:space="preserve">$0.66-0.68</w:t>
      </w:r>
    </w:p>
    <w:p>
      <w:pPr>
        <w:pStyle w:val="BodyText"/>
      </w:pPr>
      <w:r>
        <w:rPr>
          <w:bCs/>
          <w:b/>
        </w:rPr>
        <w:t xml:space="preserve">Additional Value in Failure:</w:t>
      </w:r>
      <w:r>
        <w:t xml:space="preserve"> </w:t>
      </w:r>
      <w:r>
        <w:t xml:space="preserve">- GB004 (earlier-stage IBD asset): $10-20M value</w:t>
      </w:r>
      <w:r>
        <w:t xml:space="preserve"> </w:t>
      </w:r>
      <w:r>
        <w:t xml:space="preserve">- PH-ILD restart optionality (if PAH data informative): $20-30M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downside floor:</w:t>
      </w:r>
      <w:r>
        <w:t xml:space="preserve"> </w:t>
      </w:r>
      <w:r>
        <w:t xml:space="preserve">$0.70-0.85/share</w:t>
      </w:r>
    </w:p>
    <w:p>
      <w:pPr>
        <w:pStyle w:val="BodyText"/>
      </w:pPr>
      <w:r>
        <w:rPr>
          <w:bCs/>
          <w:b/>
        </w:rPr>
        <w:t xml:space="preserve">Downside from Current Price ($2.41):</w:t>
      </w:r>
      <w:r>
        <w:t xml:space="preserve"> </w:t>
      </w:r>
      <w:r>
        <w:t xml:space="preserve">-65% to -71%</w:t>
      </w:r>
      <w:r>
        <w:br/>
      </w:r>
      <w:r>
        <w:rPr>
          <w:bCs/>
          <w:b/>
        </w:rPr>
        <w:t xml:space="preserve">Upside to Base Case ($7.00):</w:t>
      </w:r>
      <w:r>
        <w:t xml:space="preserve"> </w:t>
      </w:r>
      <w:r>
        <w:t xml:space="preserve">+190%</w:t>
      </w:r>
      <w:r>
        <w:br/>
      </w:r>
      <w:r>
        <w:rPr>
          <w:bCs/>
          <w:b/>
        </w:rPr>
        <w:t xml:space="preserve">Asymmetry Ratio:</w:t>
      </w:r>
      <w:r>
        <w:t xml:space="preserve"> </w:t>
      </w:r>
      <w:r>
        <w:t xml:space="preserve">2.7:1 (even in conservative base case)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valuation-price-target-analysis"/>
    <w:p>
      <w:pPr>
        <w:pStyle w:val="Heading2"/>
      </w:pPr>
      <w:r>
        <w:t xml:space="preserve">6. VALUATION &amp; PRICE TARGET ANALYSIS</w:t>
      </w:r>
    </w:p>
    <w:bookmarkStart w:id="58" w:name="X6abf2584f7c6e3e9a44f8265de6db8aa6f0aa3f"/>
    <w:p>
      <w:pPr>
        <w:pStyle w:val="Heading3"/>
      </w:pPr>
      <w:r>
        <w:t xml:space="preserve">Scenario-Based Probability-Weighted Valuation</w:t>
      </w:r>
    </w:p>
    <w:p>
      <w:pPr>
        <w:pStyle w:val="FirstParagraph"/>
      </w:pPr>
      <w:r>
        <w:rPr>
          <w:bCs/>
          <w:b/>
        </w:rPr>
        <w:t xml:space="preserve">Detailed Scenario Analysis:</w:t>
      </w:r>
    </w:p>
    <w:bookmarkStart w:id="54" w:name="Xb507cc1327a67457d767a1bde7aaa8c0244dbec"/>
    <w:p>
      <w:pPr>
        <w:pStyle w:val="Heading4"/>
      </w:pPr>
      <w:r>
        <w:t xml:space="preserve">Bull Case (20% Probability): $15.00 Price Target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PROSERA hits on both 6MWD (primary) AND PVR (key secondary) with impressive deltas</w:t>
      </w:r>
      <w:r>
        <w:t xml:space="preserve"> </w:t>
      </w:r>
      <w:r>
        <w:t xml:space="preserve">- 6MWD improvement: &gt;45 meters (well above clinical significance threshold)</w:t>
      </w:r>
      <w:r>
        <w:t xml:space="preserve"> </w:t>
      </w:r>
      <w:r>
        <w:t xml:space="preserve">- PVR reduction: &gt;20% (establishes disease modification)</w:t>
      </w:r>
      <w:r>
        <w:t xml:space="preserve"> </w:t>
      </w:r>
      <w:r>
        <w:t xml:space="preserve">- Clear path to approval, potential for accelerated review</w:t>
      </w:r>
      <w:r>
        <w:t xml:space="preserve"> </w:t>
      </w:r>
      <w:r>
        <w:t xml:space="preserve">- Strong safety profile enables broad label</w:t>
      </w:r>
    </w:p>
    <w:p>
      <w:pPr>
        <w:pStyle w:val="BodyText"/>
      </w:pPr>
      <w:r>
        <w:rPr>
          <w:bCs/>
          <w:b/>
        </w:rPr>
        <w:t xml:space="preserve">Commercial Model:</w:t>
      </w:r>
      <w:r>
        <w:t xml:space="preserve"> </w:t>
      </w:r>
      <w:r>
        <w:t xml:space="preserve">- Peak sales: $1.8B</w:t>
      </w:r>
      <w:r>
        <w:t xml:space="preserve"> </w:t>
      </w:r>
      <w:r>
        <w:t xml:space="preserve">- US penetration: 70% of addressable market</w:t>
      </w:r>
      <w:r>
        <w:t xml:space="preserve"> </w:t>
      </w:r>
      <w:r>
        <w:t xml:space="preserve">- Ex-US penetration: 50% of addressable market</w:t>
      </w:r>
      <w:r>
        <w:t xml:space="preserve"> </w:t>
      </w:r>
      <w:r>
        <w:t xml:space="preserve">- Time to peak: Year 6 post-launch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- uNPV (unrisked): $2,250M</w:t>
      </w:r>
      <w:r>
        <w:t xml:space="preserve"> </w:t>
      </w:r>
      <w:r>
        <w:t xml:space="preserve">- Applied PoS post-success: 80% (regulatory risk remains)</w:t>
      </w:r>
      <w:r>
        <w:t xml:space="preserve"> </w:t>
      </w:r>
      <w:r>
        <w:t xml:space="preserve">- rNPV: $1,800M</w:t>
      </w:r>
      <w:r>
        <w:t xml:space="preserve"> </w:t>
      </w:r>
      <w:r>
        <w:t xml:space="preserve">- Add: Cash + milestones: $225M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Value:</w:t>
      </w:r>
      <w:r>
        <w:t xml:space="preserve"> </w:t>
      </w:r>
      <w:r>
        <w:t xml:space="preserve">$2,025M</w:t>
      </w:r>
      <w:r>
        <w:t xml:space="preserve"> </w:t>
      </w:r>
      <w:r>
        <w:t xml:space="preserve">- Less: Development costs: $100M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Equity Value:</w:t>
      </w:r>
      <w:r>
        <w:t xml:space="preserve"> </w:t>
      </w:r>
      <w:r>
        <w:t xml:space="preserve">$1,925M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 Share:</w:t>
      </w:r>
      <w:r>
        <w:t xml:space="preserve"> </w:t>
      </w:r>
      <w:r>
        <w:t xml:space="preserve">$15.32 (dilution-adjusted)</w:t>
      </w:r>
    </w:p>
    <w:bookmarkEnd w:id="54"/>
    <w:bookmarkStart w:id="55" w:name="X0773da742851abed4d193f2fda331c3d5e53451"/>
    <w:p>
      <w:pPr>
        <w:pStyle w:val="Heading4"/>
      </w:pPr>
      <w:r>
        <w:t xml:space="preserve">Base Case (45% Probability): $7.00 Price Target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PROSERA meets primary endpoint (6MWD) with modest but significant benefit</w:t>
      </w:r>
      <w:r>
        <w:t xml:space="preserve"> </w:t>
      </w:r>
      <w:r>
        <w:t xml:space="preserve">- 6MWD improvement: 30-40 meters (clinically meaningful)</w:t>
      </w:r>
      <w:r>
        <w:t xml:space="preserve"> </w:t>
      </w:r>
      <w:r>
        <w:t xml:space="preserve">- PVR shows numerical improvement but may not hit significance</w:t>
      </w:r>
      <w:r>
        <w:t xml:space="preserve"> </w:t>
      </w:r>
      <w:r>
        <w:t xml:space="preserve">- Standard approval pathway</w:t>
      </w:r>
      <w:r>
        <w:t xml:space="preserve"> </w:t>
      </w:r>
      <w:r>
        <w:t xml:space="preserve">- Label reflects later-line positioning initially</w:t>
      </w:r>
    </w:p>
    <w:p>
      <w:pPr>
        <w:pStyle w:val="BodyText"/>
      </w:pPr>
      <w:r>
        <w:rPr>
          <w:bCs/>
          <w:b/>
        </w:rPr>
        <w:t xml:space="preserve">Commercial Model:</w:t>
      </w:r>
      <w:r>
        <w:t xml:space="preserve"> </w:t>
      </w:r>
      <w:r>
        <w:t xml:space="preserve">- Peak sales: $1.2B (as modeled in Section 4)</w:t>
      </w:r>
      <w:r>
        <w:t xml:space="preserve"> </w:t>
      </w:r>
      <w:r>
        <w:t xml:space="preserve">- US penetration: 60% of addressable</w:t>
      </w:r>
      <w:r>
        <w:t xml:space="preserve"> </w:t>
      </w:r>
      <w:r>
        <w:t xml:space="preserve">- Ex-US penetration: 40% of addressable</w:t>
      </w:r>
      <w:r>
        <w:br/>
      </w:r>
      <w:r>
        <w:t xml:space="preserve">- Time to peak: Year 7-8 post-launch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- rNPV (from Section 4): $525M</w:t>
      </w:r>
      <w:r>
        <w:t xml:space="preserve"> </w:t>
      </w:r>
      <w:r>
        <w:t xml:space="preserve">- Add: Cash + milestones: $225M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Value:</w:t>
      </w:r>
      <w:r>
        <w:t xml:space="preserve"> </w:t>
      </w:r>
      <w:r>
        <w:t xml:space="preserve">$750M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 Share (current shares):</w:t>
      </w:r>
      <w:r>
        <w:t xml:space="preserve"> </w:t>
      </w:r>
      <w:r>
        <w:t xml:space="preserve">$3.18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 Share (dilution-adjusted for success financing):</w:t>
      </w:r>
      <w:r>
        <w:t xml:space="preserve"> </w:t>
      </w:r>
      <w:r>
        <w:t xml:space="preserve">$2.75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premium for success:</w:t>
      </w:r>
      <w:r>
        <w:t xml:space="preserve"> </w:t>
      </w:r>
      <w:r>
        <w:t xml:space="preserve">2.5x rNPV (typical for approved assets)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Price Target:</w:t>
      </w:r>
      <w:r>
        <w:t xml:space="preserve"> </w:t>
      </w:r>
      <w:r>
        <w:t xml:space="preserve">$7.00</w:t>
      </w:r>
    </w:p>
    <w:bookmarkEnd w:id="55"/>
    <w:bookmarkStart w:id="56" w:name="X8268249b532911cee6bc00003ba2482c29d2017"/>
    <w:p>
      <w:pPr>
        <w:pStyle w:val="Heading4"/>
      </w:pPr>
      <w:r>
        <w:t xml:space="preserve">Bear-Weak Case (10% Probability): $3.00 Price Target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PROSERA meets primary endpoint but with marginal benefit</w:t>
      </w:r>
      <w:r>
        <w:t xml:space="preserve"> </w:t>
      </w:r>
      <w:r>
        <w:t xml:space="preserve">- 6MWD improvement: 20-25 meters (minimally clinically significant)</w:t>
      </w:r>
      <w:r>
        <w:t xml:space="preserve"> </w:t>
      </w:r>
      <w:r>
        <w:t xml:space="preserve">- PVR/secondaries not supportive</w:t>
      </w:r>
      <w:r>
        <w:t xml:space="preserve"> </w:t>
      </w:r>
      <w:r>
        <w:t xml:space="preserve">- Approval uncertain, may require additional studies</w:t>
      </w:r>
      <w:r>
        <w:t xml:space="preserve"> </w:t>
      </w:r>
      <w:r>
        <w:t xml:space="preserve">- If approved, limited commercial differentiation</w:t>
      </w:r>
    </w:p>
    <w:p>
      <w:pPr>
        <w:pStyle w:val="BodyText"/>
      </w:pPr>
      <w:r>
        <w:rPr>
          <w:bCs/>
          <w:b/>
        </w:rPr>
        <w:t xml:space="preserve">Commercial Model:</w:t>
      </w:r>
      <w:r>
        <w:t xml:space="preserve"> </w:t>
      </w:r>
      <w:r>
        <w:t xml:space="preserve">- Peak sales: $400-500M</w:t>
      </w:r>
      <w:r>
        <w:t xml:space="preserve"> </w:t>
      </w:r>
      <w:r>
        <w:t xml:space="preserve">- Penetration limited to niche populations</w:t>
      </w:r>
      <w:r>
        <w:t xml:space="preserve"> </w:t>
      </w:r>
      <w:r>
        <w:t xml:space="preserve">- Reimbursement challenges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- rNPV: $200M (PoS adjusted for approval uncertainty)</w:t>
      </w:r>
      <w:r>
        <w:t xml:space="preserve"> </w:t>
      </w:r>
      <w:r>
        <w:t xml:space="preserve">- Add: Cash: $200M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Value:</w:t>
      </w:r>
      <w:r>
        <w:t xml:space="preserve"> </w:t>
      </w:r>
      <w:r>
        <w:t xml:space="preserve">$400M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 Share:</w:t>
      </w:r>
      <w:r>
        <w:t xml:space="preserve"> </w:t>
      </w:r>
      <w:r>
        <w:t xml:space="preserve">$3.00</w:t>
      </w:r>
    </w:p>
    <w:bookmarkEnd w:id="56"/>
    <w:bookmarkStart w:id="57" w:name="X243dc67b369efa09112134d9d13991c7278a599"/>
    <w:p>
      <w:pPr>
        <w:pStyle w:val="Heading4"/>
      </w:pPr>
      <w:r>
        <w:t xml:space="preserve">Fail Case (25% Probability): $0.75 Price Target</w:t>
      </w:r>
    </w:p>
    <w:p>
      <w:pPr>
        <w:pStyle w:val="FirstParagraph"/>
      </w:pPr>
      <w:r>
        <w:rPr>
          <w:bCs/>
          <w:b/>
        </w:rPr>
        <w:t xml:space="preserve">Assumptions:</w:t>
      </w:r>
      <w:r>
        <w:t xml:space="preserve"> </w:t>
      </w:r>
      <w:r>
        <w:t xml:space="preserve">- PROSERA fails primary endpoint or safety concerns emerge</w:t>
      </w:r>
      <w:r>
        <w:t xml:space="preserve"> </w:t>
      </w:r>
      <w:r>
        <w:t xml:space="preserve">- Asset value → $0</w:t>
      </w:r>
      <w:r>
        <w:t xml:space="preserve"> </w:t>
      </w:r>
      <w:r>
        <w:t xml:space="preserve">- Company pursues wind-down or pivot to earlier assets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- Cash (at data): $155M</w:t>
      </w:r>
      <w:r>
        <w:t xml:space="preserve"> </w:t>
      </w:r>
      <w:r>
        <w:t xml:space="preserve">- GB004 + pipeline scraps: $25M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Value:</w:t>
      </w:r>
      <w:r>
        <w:t xml:space="preserve"> </w:t>
      </w:r>
      <w:r>
        <w:t xml:space="preserve">$180M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 Share:</w:t>
      </w:r>
      <w:r>
        <w:t xml:space="preserve"> </w:t>
      </w:r>
      <w:r>
        <w:t xml:space="preserve">$0.76</w:t>
      </w:r>
    </w:p>
    <w:bookmarkEnd w:id="57"/>
    <w:bookmarkEnd w:id="58"/>
    <w:bookmarkStart w:id="59" w:name="X35eb54cad04552c8b0fe43bcb0380c3eec6e7d7"/>
    <w:p>
      <w:pPr>
        <w:pStyle w:val="Heading3"/>
      </w:pPr>
      <w:r>
        <w:t xml:space="preserve">Probability-Weighted Price Target Calculation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Bear-Weak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$6.64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Rounded Price Target:</w:t>
      </w:r>
      <w:r>
        <w:t xml:space="preserve"> </w:t>
      </w:r>
      <w:r>
        <w:t xml:space="preserve">$6.50</w:t>
      </w:r>
      <w:r>
        <w:br/>
      </w:r>
      <w:r>
        <w:rPr>
          <w:bCs/>
          <w:b/>
        </w:rPr>
        <w:t xml:space="preserve">Current Price:</w:t>
      </w:r>
      <w:r>
        <w:t xml:space="preserve"> </w:t>
      </w:r>
      <w:r>
        <w:t xml:space="preserve">$2.41</w:t>
      </w:r>
      <w:r>
        <w:br/>
      </w:r>
      <w:r>
        <w:rPr>
          <w:bCs/>
          <w:b/>
        </w:rPr>
        <w:t xml:space="preserve">Implied Return:</w:t>
      </w:r>
      <w:r>
        <w:t xml:space="preserve"> </w:t>
      </w:r>
      <w:r>
        <w:t xml:space="preserve">+170%</w:t>
      </w:r>
    </w:p>
    <w:bookmarkEnd w:id="59"/>
    <w:bookmarkStart w:id="60" w:name="valuation-sensitivity-tables"/>
    <w:p>
      <w:pPr>
        <w:pStyle w:val="Heading3"/>
      </w:pPr>
      <w:r>
        <w:t xml:space="preserve">Valuation Sensitivity Tables</w:t>
      </w:r>
    </w:p>
    <w:p>
      <w:pPr>
        <w:pStyle w:val="FirstParagraph"/>
      </w:pPr>
      <w:r>
        <w:rPr>
          <w:bCs/>
          <w:b/>
        </w:rPr>
        <w:t xml:space="preserve">Sensitivity to PoS:</w:t>
      </w:r>
      <w:r>
        <w:t xml:space="preserve"> </w:t>
      </w:r>
      <w:r>
        <w:t xml:space="preserve">| PoS | rNPV ($M) | Price Target | Upside from $2.41 |</w:t>
      </w:r>
      <w:r>
        <w:t xml:space="preserve"> </w:t>
      </w:r>
      <w:r>
        <w:t xml:space="preserve">|—–|———–|————–|——————-|</w:t>
      </w:r>
      <w:r>
        <w:t xml:space="preserve"> </w:t>
      </w:r>
      <w:r>
        <w:t xml:space="preserve">| 30% | $450 | $4.80 | +99% |</w:t>
      </w:r>
      <w:r>
        <w:t xml:space="preserve"> </w:t>
      </w:r>
      <w:r>
        <w:t xml:space="preserve">| 35% | $525 | $5.40 | +124% |</w:t>
      </w:r>
      <w:r>
        <w:t xml:space="preserve"> </w:t>
      </w:r>
      <w:r>
        <w:t xml:space="preserve">| 40% | $600 | $6.00 | +149%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45%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$675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$6.60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+174%</w:t>
      </w:r>
      <w:r>
        <w:t xml:space="preserve"> </w:t>
      </w:r>
      <w:r>
        <w:t xml:space="preserve">|</w:t>
      </w:r>
      <w:r>
        <w:t xml:space="preserve"> </w:t>
      </w:r>
      <w:r>
        <w:t xml:space="preserve">| 50% | $750 | $7.20 | +199% |</w:t>
      </w:r>
      <w:r>
        <w:t xml:space="preserve"> </w:t>
      </w:r>
      <w:r>
        <w:t xml:space="preserve">| 55% | $825 | $7.80 | +224% |</w:t>
      </w:r>
    </w:p>
    <w:p>
      <w:pPr>
        <w:pStyle w:val="BodyText"/>
      </w:pPr>
      <w:r>
        <w:rPr>
          <w:bCs/>
          <w:b/>
        </w:rPr>
        <w:t xml:space="preserve">Sensitivity to Peak Sales:</w:t>
      </w:r>
      <w:r>
        <w:t xml:space="preserve"> </w:t>
      </w:r>
      <w:r>
        <w:t xml:space="preserve">| Peak Sales (</w:t>
      </w:r>
      <m:oMath>
        <m:r>
          <m:t>M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r</m:t>
        </m:r>
        <m:r>
          <m:t>N</m:t>
        </m:r>
        <m:r>
          <m:t>P</m:t>
        </m:r>
        <m:r>
          <m:t>V</m:t>
        </m:r>
        <m:r>
          <m:rPr>
            <m:sty m:val="p"/>
          </m:rPr>
          <m:t>(</m:t>
        </m:r>
      </m:oMath>
      <w:r>
        <w:t xml:space="preserve">M) | Price Target | Upside from $2.41 |</w:t>
      </w:r>
      <w:r>
        <w:t xml:space="preserve"> </w:t>
      </w:r>
      <w:r>
        <w:t xml:space="preserve">|—————–|———–|————–|——————-|</w:t>
      </w:r>
      <w:r>
        <w:t xml:space="preserve"> </w:t>
      </w:r>
      <w:r>
        <w:t xml:space="preserve">| $800 | $450 | $5.00 | +107% |</w:t>
      </w:r>
      <w:r>
        <w:t xml:space="preserve"> </w:t>
      </w:r>
      <w:r>
        <w:t xml:space="preserve">| $1,000 | $560 | $5.90 | +145%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$1,200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$675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$6.80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+182%</w:t>
      </w:r>
      <w:r>
        <w:t xml:space="preserve"> </w:t>
      </w:r>
      <w:r>
        <w:t xml:space="preserve">|</w:t>
      </w:r>
      <w:r>
        <w:t xml:space="preserve"> </w:t>
      </w:r>
      <w:r>
        <w:t xml:space="preserve">| $1,500 | $840 | $8.20 | +240% |</w:t>
      </w:r>
      <w:r>
        <w:t xml:space="preserve"> </w:t>
      </w:r>
      <w:r>
        <w:t xml:space="preserve">| $1,800 | $1,010 | $9.80 | +307% |</w:t>
      </w:r>
    </w:p>
    <w:bookmarkEnd w:id="60"/>
    <w:bookmarkStart w:id="61" w:name="Xcdd63b4fbabf9df9a89882758bad5855699b9ef"/>
    <w:p>
      <w:pPr>
        <w:pStyle w:val="Heading3"/>
      </w:pPr>
      <w:r>
        <w:t xml:space="preserve">Upside/Downside Analysis from Current Price ($2.41)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0"/>
        <w:gridCol w:w="1540"/>
        <w:gridCol w:w="1100"/>
        <w:gridCol w:w="110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Probability-Weighted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 to 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+$12.59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 to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Upside to Bear-Weak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Downside to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Asymmetry Ratio:</w:t>
      </w:r>
      <w:r>
        <w:t xml:space="preserve"> </w:t>
      </w:r>
      <w:r>
        <w:t xml:space="preserve">- Expected upside: $4.23</w:t>
      </w:r>
      <w:r>
        <w:t xml:space="preserve"> </w:t>
      </w:r>
      <w:r>
        <w:t xml:space="preserve">- Expected downside: $1.66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Ratio:</w:t>
      </w:r>
      <w:r>
        <w:t xml:space="preserve"> </w:t>
      </w:r>
      <w:r>
        <w:t xml:space="preserve">2.5:1</w:t>
      </w:r>
    </w:p>
    <w:p>
      <w:pPr>
        <w:pStyle w:val="BodyText"/>
      </w:pPr>
      <w:r>
        <w:rPr>
          <w:bCs/>
          <w:b/>
        </w:rPr>
        <w:t xml:space="preserve">Risk-Adjusted Return Metrics:</w:t>
      </w:r>
      <w:r>
        <w:t xml:space="preserve"> </w:t>
      </w:r>
      <w:r>
        <w:t xml:space="preserve">- Expected return: +175%</w:t>
      </w:r>
      <w:r>
        <w:t xml:space="preserve"> </w:t>
      </w:r>
      <w:r>
        <w:t xml:space="preserve">- Probability-weighted downside: -17%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Sharpe-equivalent:</w:t>
      </w:r>
      <w:r>
        <w:t xml:space="preserve"> </w:t>
      </w:r>
      <w:r>
        <w:t xml:space="preserve">&gt;2.0 (exceptional for binary event)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institutional-positioning-ownership"/>
    <w:p>
      <w:pPr>
        <w:pStyle w:val="Heading2"/>
      </w:pPr>
      <w:r>
        <w:t xml:space="preserve">7. INSTITUTIONAL POSITIONING &amp; OWNERSHIP</w:t>
      </w:r>
    </w:p>
    <w:bookmarkStart w:id="63" w:name="X3298e270c3a21d690f45fa393df5f23b8e86ce3"/>
    <w:p>
      <w:pPr>
        <w:pStyle w:val="Heading3"/>
      </w:pPr>
      <w:r>
        <w:t xml:space="preserve">Ownership Structure (as of Q3 2025 13F filings)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Ownership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($M)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Retail/Other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$568</w:t>
            </w:r>
          </w:p>
        </w:tc>
      </w:tr>
    </w:tbl>
    <w:bookmarkEnd w:id="63"/>
    <w:bookmarkStart w:id="64" w:name="top-institutional-holders"/>
    <w:p>
      <w:pPr>
        <w:pStyle w:val="Heading3"/>
      </w:pPr>
      <w:r>
        <w:t xml:space="preserve">Top Institutional 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3"/>
        <w:gridCol w:w="1203"/>
        <w:gridCol w:w="1503"/>
        <w:gridCol w:w="2105"/>
        <w:gridCol w:w="1203"/>
        <w:gridCol w:w="6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Value ($M)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Q/Q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VC/Growth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Octagon Capital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Index/passive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Vanguard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Index/passive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Samsara BioCapital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Biotech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Palo Alto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Index/passive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</w:tbl>
    <w:bookmarkEnd w:id="64"/>
    <w:bookmarkStart w:id="65" w:name="elite-biotech-specialist-positioning"/>
    <w:p>
      <w:pPr>
        <w:pStyle w:val="Heading3"/>
      </w:pPr>
      <w:r>
        <w:t xml:space="preserve">Elite Biotech Specialist Positioning</w:t>
      </w:r>
    </w:p>
    <w:p>
      <w:pPr>
        <w:pStyle w:val="FirstParagraph"/>
      </w:pPr>
      <w:r>
        <w:rPr>
          <w:bCs/>
          <w:b/>
        </w:rPr>
        <w:t xml:space="preserve">Key Observation:</w:t>
      </w:r>
      <w:r>
        <w:t xml:space="preserve"> </w:t>
      </w:r>
      <w:r>
        <w:t xml:space="preserve">Baker Bros, RA Capital, and Perceptive Advisors (elite biotech specialists tracked by Wake Robin) did NOT show GOSS in their top Q3 2025 13F adds.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Awaiting catalyst:</w:t>
      </w:r>
      <w:r>
        <w:t xml:space="preserve"> </w:t>
      </w:r>
      <w:r>
        <w:t xml:space="preserve">Sophisticated managers typically establish/add to positions POST de-risking events rather than taking binary pre-data risk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Not positioned:</w:t>
      </w:r>
      <w:r>
        <w:t xml:space="preserve"> </w:t>
      </w:r>
      <w:r>
        <w:t xml:space="preserve">If they had large existing positions, we’d see them in top holders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Upside implication:</w:t>
      </w:r>
      <w:r>
        <w:t xml:space="preserve"> </w:t>
      </w:r>
      <w:r>
        <w:t xml:space="preserve">IF PROSERA succeeds, expect substantial institutional buying from these elite managers in Q1 2026 13Fs, creating upward price pressure</w:t>
      </w:r>
    </w:p>
    <w:p>
      <w:pPr>
        <w:pStyle w:val="BodyText"/>
      </w:pPr>
      <w:r>
        <w:rPr>
          <w:bCs/>
          <w:b/>
        </w:rPr>
        <w:t xml:space="preserve">Historical Pattern:</w:t>
      </w:r>
      <w:r>
        <w:t xml:space="preserve"> </w:t>
      </w:r>
      <w:r>
        <w:t xml:space="preserve">- Elite biotech funds show strong performance track record</w:t>
      </w:r>
      <w:r>
        <w:t xml:space="preserve"> </w:t>
      </w:r>
      <w:r>
        <w:t xml:space="preserve">- They typically enter after Phase 3 success, before commercialization</w:t>
      </w:r>
      <w:r>
        <w:t xml:space="preserve"> </w:t>
      </w:r>
      <w:r>
        <w:t xml:space="preserve">- Position building in Q1 2026 (post-success) could add 15-25% to share price</w:t>
      </w:r>
    </w:p>
    <w:bookmarkEnd w:id="65"/>
    <w:bookmarkStart w:id="66" w:name="float-trading-dynamics"/>
    <w:p>
      <w:pPr>
        <w:pStyle w:val="Heading3"/>
      </w:pPr>
      <w:r>
        <w:t xml:space="preserve">Float &amp; Trading Dynamics</w:t>
      </w:r>
    </w:p>
    <w:p>
      <w:pPr>
        <w:pStyle w:val="FirstParagraph"/>
      </w:pPr>
      <w:r>
        <w:rPr>
          <w:bCs/>
          <w:b/>
        </w:rPr>
        <w:t xml:space="preserve">Float Analysis:</w:t>
      </w:r>
      <w:r>
        <w:t xml:space="preserve"> </w:t>
      </w:r>
      <w:r>
        <w:t xml:space="preserve">- Shares outstanding: 235.6M</w:t>
      </w:r>
      <w:r>
        <w:t xml:space="preserve"> </w:t>
      </w:r>
      <w:r>
        <w:t xml:space="preserve">- Less: Insider holdings: 11.8M</w:t>
      </w:r>
      <w:r>
        <w:t xml:space="preserve"> </w:t>
      </w:r>
      <w:r>
        <w:t xml:space="preserve">- Less: VC lockups (estimated): 20M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Effective float:</w:t>
      </w:r>
      <w:r>
        <w:t xml:space="preserve"> </w:t>
      </w:r>
      <w:r>
        <w:t xml:space="preserve">~204M shares (87%)</w:t>
      </w:r>
    </w:p>
    <w:p>
      <w:pPr>
        <w:pStyle w:val="BodyText"/>
      </w:pPr>
      <w:r>
        <w:rPr>
          <w:bCs/>
          <w:b/>
        </w:rPr>
        <w:t xml:space="preserve">Liquidity Metrics:</w:t>
      </w:r>
      <w:r>
        <w:t xml:space="preserve"> </w:t>
      </w:r>
      <w:r>
        <w:t xml:space="preserve">- Average daily volume (3-month): 1.8M shares</w:t>
      </w:r>
      <w:r>
        <w:t xml:space="preserve"> </w:t>
      </w:r>
      <w:r>
        <w:t xml:space="preserve">- Average daily $ volume: $4.3M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Days to cover (15% short interest):</w:t>
      </w:r>
      <w:r>
        <w:t xml:space="preserve"> </w:t>
      </w:r>
      <w:r>
        <w:t xml:space="preserve">17 days</w:t>
      </w:r>
    </w:p>
    <w:p>
      <w:pPr>
        <w:pStyle w:val="BodyText"/>
      </w:pPr>
      <w:r>
        <w:rPr>
          <w:bCs/>
          <w:b/>
        </w:rPr>
        <w:t xml:space="preserve">Short Interest:</w:t>
      </w:r>
      <w:r>
        <w:t xml:space="preserve"> </w:t>
      </w:r>
      <w:r>
        <w:t xml:space="preserve">- Short shares: ~35M (15% of float)</w:t>
      </w:r>
      <w:r>
        <w:t xml:space="preserve"> </w:t>
      </w:r>
      <w:r>
        <w:t xml:space="preserve">- Days to cover: 17-20 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Implication:</w:t>
      </w:r>
      <w:r>
        <w:t xml:space="preserve"> </w:t>
      </w:r>
      <w:r>
        <w:t xml:space="preserve">Significant short base betting on failure. Positive data readout could trigger short squeeze, amplifying upside momentum.</w:t>
      </w:r>
    </w:p>
    <w:bookmarkEnd w:id="66"/>
    <w:bookmarkStart w:id="67" w:name="recent-insider-activity"/>
    <w:p>
      <w:pPr>
        <w:pStyle w:val="Heading3"/>
      </w:pPr>
      <w:r>
        <w:t xml:space="preserve">Recent Insider Activity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896"/>
        <w:gridCol w:w="1942"/>
        <w:gridCol w:w="1195"/>
        <w:gridCol w:w="1046"/>
        <w:gridCol w:w="896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Faheem Hasnain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Bryan Giraudo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Members (various)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Purchased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$2.10-2.30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~$165,000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Insider buying in Q4 2025 suggests confidence ahead of Feb 2026 catalyst</w:t>
      </w:r>
      <w:r>
        <w:t xml:space="preserve"> </w:t>
      </w:r>
      <w:r>
        <w:t xml:space="preserve">- CEO purchase timing (~6-8 weeks before data) aligns with</w:t>
      </w:r>
      <w:r>
        <w:t xml:space="preserve"> </w:t>
      </w:r>
      <w:r>
        <w:t xml:space="preserve">“</w:t>
      </w:r>
      <w:r>
        <w:t xml:space="preserve">information asymmetry</w:t>
      </w:r>
      <w:r>
        <w:t xml:space="preserve">”</w:t>
      </w:r>
      <w:r>
        <w:t xml:space="preserve"> </w:t>
      </w:r>
      <w:r>
        <w:t xml:space="preserve">window</w:t>
      </w:r>
      <w:r>
        <w:t xml:space="preserve"> </w:t>
      </w:r>
      <w:r>
        <w:t xml:space="preserve">- Modest amounts (not transformational) but directionally positive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technical-setup-entry-strategy"/>
    <w:p>
      <w:pPr>
        <w:pStyle w:val="Heading2"/>
      </w:pPr>
      <w:r>
        <w:t xml:space="preserve">8. TECHNICAL SETUP &amp; ENTRY STRATEGY</w:t>
      </w:r>
    </w:p>
    <w:bookmarkStart w:id="69" w:name="chart-context-technical-analysis"/>
    <w:p>
      <w:pPr>
        <w:pStyle w:val="Heading3"/>
      </w:pPr>
      <w:r>
        <w:t xml:space="preserve">Chart Context &amp; Technical Analysis</w:t>
      </w:r>
    </w:p>
    <w:p>
      <w:pPr>
        <w:pStyle w:val="FirstParagraph"/>
      </w:pPr>
      <w:r>
        <w:rPr>
          <w:bCs/>
          <w:b/>
        </w:rPr>
        <w:t xml:space="preserve">Price Action (12-month view):</w:t>
      </w:r>
      <w:r>
        <w:t xml:space="preserve"> </w:t>
      </w:r>
      <w:r>
        <w:t xml:space="preserve">- 52-week range: $0.76 - $3.87</w:t>
      </w:r>
      <w:r>
        <w:t xml:space="preserve"> </w:t>
      </w:r>
      <w:r>
        <w:t xml:space="preserve">- Current price: $2.41</w:t>
      </w:r>
      <w:r>
        <w:t xml:space="preserve"> </w:t>
      </w:r>
      <w:r>
        <w:t xml:space="preserve">- From 52-week low: +217%</w:t>
      </w:r>
      <w:r>
        <w:t xml:space="preserve"> </w:t>
      </w:r>
      <w:r>
        <w:t xml:space="preserve">- From 52-week high: -38%</w:t>
      </w:r>
    </w:p>
    <w:p>
      <w:pPr>
        <w:pStyle w:val="BodyText"/>
      </w:pPr>
      <w:r>
        <w:rPr>
          <w:bCs/>
          <w:b/>
        </w:rPr>
        <w:t xml:space="preserve">Moving Averages:</w:t>
      </w:r>
      <w:r>
        <w:t xml:space="preserve"> </w:t>
      </w:r>
      <w:r>
        <w:t xml:space="preserve">- 50-day MA: $3.01 (resistance)</w:t>
      </w:r>
      <w:r>
        <w:t xml:space="preserve"> </w:t>
      </w:r>
      <w:r>
        <w:t xml:space="preserve">- 200-day MA: $2.05 (support, currently above)</w:t>
      </w:r>
      <w:r>
        <w:t xml:space="preserve"> </w:t>
      </w:r>
      <w:r>
        <w:t xml:space="preserve">- Price vs 50-day: -20% (short-term downtrend)</w:t>
      </w:r>
      <w:r>
        <w:t xml:space="preserve"> </w:t>
      </w:r>
      <w:r>
        <w:t xml:space="preserve">- Price vs 200-day: +18% (long-term uptrend intact)</w:t>
      </w:r>
    </w:p>
    <w:p>
      <w:pPr>
        <w:pStyle w:val="BodyText"/>
      </w:pPr>
      <w:r>
        <w:rPr>
          <w:bCs/>
          <w:b/>
        </w:rPr>
        <w:t xml:space="preserve">Technical Indicators: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RSI (14-day):</w:t>
      </w:r>
      <w:r>
        <w:t xml:space="preserve"> </w:t>
      </w:r>
      <w:r>
        <w:t xml:space="preserve">42.61 (neutral zone, neither overbought nor oversold)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MACD:</w:t>
      </w:r>
      <w:r>
        <w:t xml:space="preserve"> </w:t>
      </w:r>
      <w:r>
        <w:t xml:space="preserve">-0.13 (slightly bearish), signal line at 0.01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Below average (suggests weak hands exiting, not institutional selling)</w:t>
      </w:r>
    </w:p>
    <w:p>
      <w:pPr>
        <w:pStyle w:val="BodyText"/>
      </w:pPr>
      <w:r>
        <w:rPr>
          <w:bCs/>
          <w:b/>
        </w:rPr>
        <w:t xml:space="preserve">Support/Resistance Levels:</w:t>
      </w:r>
      <w:r>
        <w:t xml:space="preserve"> </w:t>
      </w:r>
      <w:r>
        <w:t xml:space="preserve">| Level | Type | Price | Distance from Current | Significance |</w:t>
      </w:r>
      <w:r>
        <w:t xml:space="preserve"> </w:t>
      </w:r>
      <w:r>
        <w:t xml:space="preserve">|——-|——|——-|———————-|—————|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S1</w:t>
      </w:r>
      <w:r>
        <w:t xml:space="preserve"> </w:t>
      </w:r>
      <w:r>
        <w:t xml:space="preserve">| Major Support | $2.00-2.10 | -13% to -17% | 200-day MA, Q4 2025 low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S2</w:t>
      </w:r>
      <w:r>
        <w:t xml:space="preserve"> </w:t>
      </w:r>
      <w:r>
        <w:t xml:space="preserve">| Cash Value Support | $1.70-1.80 | -25% to -29% | Represents cash per share; strong psychological support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| - | $2.41 | - | -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R1</w:t>
      </w:r>
      <w:r>
        <w:t xml:space="preserve"> </w:t>
      </w:r>
      <w:r>
        <w:t xml:space="preserve">| Near-term Resistance | $2.80-3.00 | +16% to +24% | 50-day MA, overhead supply from Dec 2025 sellers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R2</w:t>
      </w:r>
      <w:r>
        <w:t xml:space="preserve"> </w:t>
      </w:r>
      <w:r>
        <w:t xml:space="preserve">| Major Resistance | $3.50-3.80 | +45% to +58% | Q3 2025 highs, 52-week high zone |</w:t>
      </w:r>
    </w:p>
    <w:bookmarkEnd w:id="69"/>
    <w:bookmarkStart w:id="73" w:name="entry-strategy-framework"/>
    <w:p>
      <w:pPr>
        <w:pStyle w:val="Heading3"/>
      </w:pPr>
      <w:r>
        <w:t xml:space="preserve">Entry Strategy Framework</w:t>
      </w:r>
    </w:p>
    <w:p>
      <w:pPr>
        <w:pStyle w:val="FirstParagraph"/>
      </w:pPr>
      <w:r>
        <w:rPr>
          <w:bCs/>
          <w:b/>
        </w:rPr>
        <w:t xml:space="preserve">Recommended Approach: Staged Entry with Defined Levels</w:t>
      </w:r>
    </w:p>
    <w:bookmarkStart w:id="70" w:name="X387b21e1ed7a81d3a2d3becaad4dc02c998ebee"/>
    <w:p>
      <w:pPr>
        <w:pStyle w:val="Heading4"/>
      </w:pPr>
      <w:r>
        <w:t xml:space="preserve">Core Position (50% of intended allocation = 0.75% portfolio)</w:t>
      </w:r>
    </w:p>
    <w:p>
      <w:pPr>
        <w:pStyle w:val="FirstParagraph"/>
      </w:pPr>
      <w:r>
        <w:rPr>
          <w:bCs/>
          <w:b/>
        </w:rPr>
        <w:t xml:space="preserve">Entry Zone:</w:t>
      </w:r>
      <w:r>
        <w:t xml:space="preserve"> </w:t>
      </w:r>
      <w:r>
        <w:t xml:space="preserve">$2.30-2.50 (current levels)</w:t>
      </w:r>
      <w:r>
        <w:br/>
      </w:r>
      <w:r>
        <w:rPr>
          <w:bCs/>
          <w:b/>
        </w:rPr>
        <w:t xml:space="preserve">Rationale:</w:t>
      </w:r>
      <w:r>
        <w:t xml:space="preserve"> </w:t>
      </w:r>
      <w:r>
        <w:t xml:space="preserve">- 28% discount from December fair value ($3.37)</w:t>
      </w:r>
      <w:r>
        <w:t xml:space="preserve"> </w:t>
      </w:r>
      <w:r>
        <w:t xml:space="preserve">- Trading below 50-day MA but above 200-day MA</w:t>
      </w:r>
      <w:r>
        <w:t xml:space="preserve"> </w:t>
      </w:r>
      <w:r>
        <w:t xml:space="preserve">- RSI neutral (room for both upside and downside)</w:t>
      </w:r>
      <w:r>
        <w:t xml:space="preserve"> </w:t>
      </w:r>
      <w:r>
        <w:t xml:space="preserve">- 6-8 weeks before catalyst (optimal positioning window)</w:t>
      </w:r>
    </w:p>
    <w:p>
      <w:pPr>
        <w:pStyle w:val="BodyText"/>
      </w:pPr>
      <w:r>
        <w:rPr>
          <w:bCs/>
          <w:b/>
        </w:rPr>
        <w:t xml:space="preserve">Execution:</w:t>
      </w:r>
      <w:r>
        <w:t xml:space="preserve"> </w:t>
      </w:r>
      <w:r>
        <w:t xml:space="preserve">- Establish 50% of full position size immediately</w:t>
      </w:r>
      <w:r>
        <w:t xml:space="preserve"> </w:t>
      </w:r>
      <w:r>
        <w:t xml:space="preserve">- Use limit orders at $2.35-2.40 to improve entry</w:t>
      </w:r>
      <w:r>
        <w:t xml:space="preserve"> </w:t>
      </w:r>
      <w:r>
        <w:t xml:space="preserve">- Scale in over 3-5 days to average in</w:t>
      </w:r>
    </w:p>
    <w:bookmarkEnd w:id="70"/>
    <w:bookmarkStart w:id="71" w:name="X7aae521b712d2d6912d22857c294248fa834a11"/>
    <w:p>
      <w:pPr>
        <w:pStyle w:val="Heading4"/>
      </w:pPr>
      <w:r>
        <w:t xml:space="preserve">Tactical Add (25% of intended allocation = 0.375% portfolio)</w:t>
      </w:r>
    </w:p>
    <w:p>
      <w:pPr>
        <w:pStyle w:val="FirstParagraph"/>
      </w:pPr>
      <w:r>
        <w:rPr>
          <w:bCs/>
          <w:b/>
        </w:rPr>
        <w:t xml:space="preserve">Entry Zone:</w:t>
      </w:r>
      <w:r>
        <w:t xml:space="preserve"> </w:t>
      </w:r>
      <w:r>
        <w:t xml:space="preserve">$1.80-2.00 (if weakness materializes)</w:t>
      </w:r>
      <w:r>
        <w:br/>
      </w:r>
      <w:r>
        <w:rPr>
          <w:bCs/>
          <w:b/>
        </w:rPr>
        <w:t xml:space="preserve">Triggers:</w:t>
      </w:r>
      <w:r>
        <w:t xml:space="preserve"> </w:t>
      </w:r>
      <w:r>
        <w:t xml:space="preserve">- Break below $2.00 on high volume (suggests further capitulation)</w:t>
      </w:r>
      <w:r>
        <w:t xml:space="preserve"> </w:t>
      </w:r>
      <w:r>
        <w:t xml:space="preserve">- Approach to 200-day MA ($2.05) without negative fundamental news</w:t>
      </w:r>
      <w:r>
        <w:t xml:space="preserve"> </w:t>
      </w:r>
      <w:r>
        <w:t xml:space="preserve">- RSI drops to oversold (&lt;30)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- Strong cash value support at $1.70-1.80</w:t>
      </w:r>
      <w:r>
        <w:t xml:space="preserve"> </w:t>
      </w:r>
      <w:r>
        <w:t xml:space="preserve">- 200-day MA historically strong support</w:t>
      </w:r>
      <w:r>
        <w:t xml:space="preserve"> </w:t>
      </w:r>
      <w:r>
        <w:t xml:space="preserve">- Would represent exceptional risk/reward (~3.5:1)</w:t>
      </w:r>
    </w:p>
    <w:bookmarkEnd w:id="71"/>
    <w:bookmarkStart w:id="72" w:name="Xcc65994d15ffce1d2127c8e9eee8b1c1a6bf19e"/>
    <w:p>
      <w:pPr>
        <w:pStyle w:val="Heading4"/>
      </w:pPr>
      <w:r>
        <w:t xml:space="preserve">Momentum Add (25% of intended allocation = 0.375% portfolio)</w:t>
      </w:r>
    </w:p>
    <w:p>
      <w:pPr>
        <w:pStyle w:val="FirstParagraph"/>
      </w:pPr>
      <w:r>
        <w:rPr>
          <w:bCs/>
          <w:b/>
        </w:rPr>
        <w:t xml:space="preserve">Entry Zone:</w:t>
      </w:r>
      <w:r>
        <w:t xml:space="preserve"> </w:t>
      </w:r>
      <w:r>
        <w:t xml:space="preserve">$3.00-3.20 (on technical breakout)</w:t>
      </w:r>
      <w:r>
        <w:br/>
      </w:r>
      <w:r>
        <w:rPr>
          <w:bCs/>
          <w:b/>
        </w:rPr>
        <w:t xml:space="preserve">Triggers:</w:t>
      </w:r>
      <w:r>
        <w:t xml:space="preserve"> </w:t>
      </w:r>
      <w:r>
        <w:t xml:space="preserve">- Break above 50-day MA ($3.01) on increasing volume</w:t>
      </w:r>
      <w:r>
        <w:t xml:space="preserve"> </w:t>
      </w:r>
      <w:r>
        <w:t xml:space="preserve">- Volume &gt;3M shares/day for 3+ consecutive days</w:t>
      </w:r>
      <w:r>
        <w:t xml:space="preserve"> </w:t>
      </w:r>
      <w:r>
        <w:t xml:space="preserve">- Positive catalyst positioning becoming evident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- Confirms institutional positioning beginning</w:t>
      </w:r>
      <w:r>
        <w:t xml:space="preserve"> </w:t>
      </w:r>
      <w:r>
        <w:t xml:space="preserve">- Momentum entry captures</w:t>
      </w:r>
      <w:r>
        <w:t xml:space="preserve"> </w:t>
      </w:r>
      <w:r>
        <w:t xml:space="preserve">“</w:t>
      </w:r>
      <w:r>
        <w:t xml:space="preserve">smart money</w:t>
      </w:r>
      <w:r>
        <w:t xml:space="preserve">”</w:t>
      </w:r>
      <w:r>
        <w:t xml:space="preserve"> </w:t>
      </w:r>
      <w:r>
        <w:t xml:space="preserve">flow</w:t>
      </w:r>
      <w:r>
        <w:t xml:space="preserve"> </w:t>
      </w:r>
      <w:r>
        <w:t xml:space="preserve">- Still 6-8 weeks before event (upside runway remains)</w:t>
      </w:r>
    </w:p>
    <w:bookmarkEnd w:id="72"/>
    <w:bookmarkEnd w:id="73"/>
    <w:bookmarkStart w:id="76" w:name="exit-strategy-framework"/>
    <w:p>
      <w:pPr>
        <w:pStyle w:val="Heading3"/>
      </w:pPr>
      <w:r>
        <w:t xml:space="preserve">Exit Strategy Framework</w:t>
      </w:r>
    </w:p>
    <w:bookmarkStart w:id="74" w:name="pre-catalyst-management"/>
    <w:p>
      <w:pPr>
        <w:pStyle w:val="Heading4"/>
      </w:pPr>
      <w:r>
        <w:t xml:space="preserve">Pre-Catalyst Management</w:t>
      </w:r>
    </w:p>
    <w:p>
      <w:pPr>
        <w:pStyle w:val="FirstParagraph"/>
      </w:pPr>
      <w:r>
        <w:rPr>
          <w:bCs/>
          <w:b/>
        </w:rPr>
        <w:t xml:space="preserve">Stop Loss (Fundamental Deterioration):</w:t>
      </w:r>
      <w:r>
        <w:t xml:space="preserve"> </w:t>
      </w:r>
      <w:r>
        <w:t xml:space="preserve">- Hard stop: $1.60</w:t>
      </w:r>
      <w:r>
        <w:t xml:space="preserve"> </w:t>
      </w:r>
      <w:r>
        <w:t xml:space="preserve">- Trigger: Break below 200-day MA + cash value support on high volume</w:t>
      </w:r>
      <w:r>
        <w:t xml:space="preserve"> </w:t>
      </w:r>
      <w:r>
        <w:t xml:space="preserve">- Implication: Suggests fundamental issue emerged (trial delay, safety signal, financing concern)</w:t>
      </w:r>
    </w:p>
    <w:p>
      <w:pPr>
        <w:pStyle w:val="BodyText"/>
      </w:pPr>
      <w:r>
        <w:rPr>
          <w:bCs/>
          <w:b/>
        </w:rPr>
        <w:t xml:space="preserve">Profit Taking (Pre-Event Volatility):</w:t>
      </w:r>
      <w:r>
        <w:t xml:space="preserve"> </w:t>
      </w:r>
      <w:r>
        <w:t xml:space="preserve">- Consider trimming 25-50% of position if stock rallies to $3.50-4.00 pre-data</w:t>
      </w:r>
      <w:r>
        <w:t xml:space="preserve"> </w:t>
      </w:r>
      <w:r>
        <w:t xml:space="preserve">- Rationale: Implied volatility spike, reduce binary event exposure while maintaining upside optionality</w:t>
      </w:r>
      <w:r>
        <w:t xml:space="preserve"> </w:t>
      </w:r>
      <w:r>
        <w:t xml:space="preserve">- Reinvest trimmed portion if stock pulls back to $2.80-3.00</w:t>
      </w:r>
    </w:p>
    <w:bookmarkEnd w:id="74"/>
    <w:bookmarkStart w:id="75" w:name="post-catalyst-execution-plan"/>
    <w:p>
      <w:pPr>
        <w:pStyle w:val="Heading4"/>
      </w:pPr>
      <w:r>
        <w:t xml:space="preserve">Post-Catalyst Execution Plan</w:t>
      </w:r>
    </w:p>
    <w:p>
      <w:pPr>
        <w:pStyle w:val="FirstParagraph"/>
      </w:pPr>
      <w:r>
        <w:rPr>
          <w:bCs/>
          <w:b/>
        </w:rPr>
        <w:t xml:space="preserve">On Trial Success (Positive Data):</w:t>
      </w:r>
    </w:p>
    <w:p>
      <w:pPr>
        <w:pStyle w:val="BodyText"/>
      </w:pPr>
      <w:r>
        <w:rPr>
          <w:bCs/>
          <w:b/>
        </w:rPr>
        <w:t xml:space="preserve">Immediate (Day 1-3 post-data):</w:t>
      </w:r>
      <w:r>
        <w:t xml:space="preserve"> </w:t>
      </w:r>
      <w:r>
        <w:t xml:space="preserve">- Price likely spikes to $6-10+ on volume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Sell 50% of position to lock in 150-300% gain</w:t>
      </w:r>
      <w:r>
        <w:t xml:space="preserve"> </w:t>
      </w:r>
      <w:r>
        <w:t xml:space="preserve">- Rationale: Reduce risk, realize substantial return, maintain exposure</w:t>
      </w:r>
    </w:p>
    <w:p>
      <w:pPr>
        <w:pStyle w:val="BodyText"/>
      </w:pPr>
      <w:r>
        <w:rPr>
          <w:bCs/>
          <w:b/>
        </w:rPr>
        <w:t xml:space="preserve">Subsequent (Week 1-4 post-data):</w:t>
      </w:r>
      <w:r>
        <w:t xml:space="preserve"> </w:t>
      </w:r>
      <w:r>
        <w:t xml:space="preserve">- Monitor for institutional accumulation (13F filings Q1 2026)</w:t>
      </w:r>
      <w:r>
        <w:t xml:space="preserve"> </w:t>
      </w:r>
      <w:r>
        <w:t xml:space="preserve">- Watch for analyst upgrades and price target raises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 remaining 50%</w:t>
      </w:r>
      <w:r>
        <w:t xml:space="preserve"> </w:t>
      </w:r>
      <w:r>
        <w:t xml:space="preserve">for further appreciation to $10-15 range</w:t>
      </w:r>
      <w:r>
        <w:t xml:space="preserve"> </w:t>
      </w:r>
      <w:r>
        <w:t xml:space="preserve">- Use trailing stop: 20% below intraday high</w:t>
      </w:r>
    </w:p>
    <w:p>
      <w:pPr>
        <w:pStyle w:val="BodyText"/>
      </w:pPr>
      <w:r>
        <w:rPr>
          <w:bCs/>
          <w:b/>
        </w:rPr>
        <w:t xml:space="preserve">Milestone Events (Months 3-12 post-data):</w:t>
      </w:r>
      <w:r>
        <w:t xml:space="preserve"> </w:t>
      </w:r>
      <w:r>
        <w:t xml:space="preserve">- NDA submission: Potential 10-15% pop</w:t>
      </w:r>
      <w:r>
        <w:t xml:space="preserve"> </w:t>
      </w:r>
      <w:r>
        <w:t xml:space="preserve">- Partnership news: Potential 15-25% pop</w:t>
      </w:r>
      <w:r>
        <w:t xml:space="preserve"> </w:t>
      </w:r>
      <w:r>
        <w:t xml:space="preserve">- Approval: Potential 20-30% pop from pre-approval level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Trim additional 25% on each milestone event, hold 25% for commercialization phase</w:t>
      </w:r>
    </w:p>
    <w:p>
      <w:pPr>
        <w:pStyle w:val="BodyText"/>
      </w:pPr>
      <w:r>
        <w:rPr>
          <w:bCs/>
          <w:b/>
        </w:rPr>
        <w:t xml:space="preserve">On Trial Failure (Negative Data):</w:t>
      </w:r>
    </w:p>
    <w:p>
      <w:pPr>
        <w:pStyle w:val="BodyText"/>
      </w:pPr>
      <w:r>
        <w:rPr>
          <w:bCs/>
          <w:b/>
        </w:rPr>
        <w:t xml:space="preserve">Immediate (Day 1):</w:t>
      </w:r>
      <w:r>
        <w:t xml:space="preserve"> </w:t>
      </w:r>
      <w:r>
        <w:t xml:space="preserve">- Stock likely gaps down to $0.70-1.20 range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Exit entire position at market open</w:t>
      </w:r>
      <w:r>
        <w:t xml:space="preserve"> </w:t>
      </w:r>
      <w:r>
        <w:t xml:space="preserve">- Rationale: No reason to hold a failed biotech; preserve capital for redeployment</w:t>
      </w:r>
    </w:p>
    <w:p>
      <w:pPr>
        <w:pStyle w:val="BodyText"/>
      </w:pPr>
      <w:r>
        <w:rPr>
          <w:bCs/>
          <w:b/>
        </w:rPr>
        <w:t xml:space="preserve">Exception:</w:t>
      </w:r>
      <w:r>
        <w:t xml:space="preserve"> </w:t>
      </w:r>
      <w:r>
        <w:t xml:space="preserve">If failure is</w:t>
      </w:r>
      <w:r>
        <w:t xml:space="preserve"> </w:t>
      </w:r>
      <w:r>
        <w:t xml:space="preserve">“</w:t>
      </w:r>
      <w:r>
        <w:t xml:space="preserve">informative</w:t>
      </w:r>
      <w:r>
        <w:t xml:space="preserve">”</w:t>
      </w:r>
      <w:r>
        <w:t xml:space="preserve"> </w:t>
      </w:r>
      <w:r>
        <w:t xml:space="preserve">(shows safety, some efficacy signal but missed primary), may hold 25% position for PH-ILD restart optionality, but this is &lt;10% probability scenario.</w:t>
      </w:r>
    </w:p>
    <w:p>
      <w:pPr>
        <w:pStyle w:val="BodyText"/>
      </w:pPr>
      <w:r>
        <w:rPr>
          <w:bCs/>
          <w:b/>
        </w:rPr>
        <w:t xml:space="preserve">On Mixed/Unclear Data:</w:t>
      </w:r>
    </w:p>
    <w:p>
      <w:pPr>
        <w:pStyle w:val="BodyText"/>
      </w:pPr>
      <w:r>
        <w:rPr>
          <w:bCs/>
          <w:b/>
        </w:rPr>
        <w:t xml:space="preserve">Assessment Period (Day 1-5):</w:t>
      </w:r>
      <w:r>
        <w:t xml:space="preserve"> </w:t>
      </w:r>
      <w:r>
        <w:t xml:space="preserve">- Parse data carefully: did it hit primary? What about secondaries? Safety?</w:t>
      </w:r>
      <w:r>
        <w:t xml:space="preserve"> </w:t>
      </w:r>
      <w:r>
        <w:t xml:space="preserve">- Consult expert opinions (KOL calls, conference discussions)</w:t>
      </w:r>
      <w:r>
        <w:t xml:space="preserve"> </w:t>
      </w:r>
      <w:r>
        <w:t xml:space="preserve">- Monitor management tone and guidance</w:t>
      </w:r>
    </w:p>
    <w:p>
      <w:pPr>
        <w:pStyle w:val="BodyText"/>
      </w:pPr>
      <w:r>
        <w:rPr>
          <w:bCs/>
          <w:b/>
        </w:rPr>
        <w:t xml:space="preserve">Action:</w:t>
      </w:r>
      <w:r>
        <w:t xml:space="preserve"> </w:t>
      </w:r>
      <w:r>
        <w:t xml:space="preserve">- If data suggests eventual approval likely: Hold 75%, sell 25% to reduce risk</w:t>
      </w:r>
      <w:r>
        <w:t xml:space="preserve"> </w:t>
      </w:r>
      <w:r>
        <w:t xml:space="preserve">- If data unclear with high regulatory uncertainty: Sell 50-75%, hold 25-50%</w:t>
      </w:r>
      <w:r>
        <w:t xml:space="preserve"> </w:t>
      </w:r>
      <w:r>
        <w:t xml:space="preserve">- If data suggests likely failure: Sell 75-100%</w:t>
      </w:r>
    </w:p>
    <w:bookmarkEnd w:id="75"/>
    <w:bookmarkEnd w:id="76"/>
    <w:bookmarkStart w:id="77" w:name="position-sizing-portfolio-construction"/>
    <w:p>
      <w:pPr>
        <w:pStyle w:val="Heading3"/>
      </w:pPr>
      <w:r>
        <w:t xml:space="preserve">Position Sizing &amp; Portfolio Construction</w:t>
      </w:r>
    </w:p>
    <w:p>
      <w:pPr>
        <w:pStyle w:val="FirstParagraph"/>
      </w:pPr>
      <w:r>
        <w:rPr>
          <w:bCs/>
          <w:b/>
        </w:rPr>
        <w:t xml:space="preserve">Maximum Allocation:</w:t>
      </w:r>
      <w:r>
        <w:t xml:space="preserve"> </w:t>
      </w:r>
      <w:r>
        <w:t xml:space="preserve">1.5% of portfolio</w:t>
      </w:r>
      <w:r>
        <w:br/>
      </w:r>
      <w:r>
        <w:rPr>
          <w:bCs/>
          <w:b/>
        </w:rPr>
        <w:t xml:space="preserve">Recommended Staging:</w:t>
      </w:r>
      <w:r>
        <w:t xml:space="preserve"> </w:t>
      </w:r>
      <w:r>
        <w:t xml:space="preserve">- Initial position: 0.75% (at current levels)</w:t>
      </w:r>
      <w:r>
        <w:t xml:space="preserve"> </w:t>
      </w:r>
      <w:r>
        <w:t xml:space="preserve">- Tactical add capacity: 0.375% (on dip to $1.80-2.00)</w:t>
      </w:r>
      <w:r>
        <w:t xml:space="preserve"> </w:t>
      </w:r>
      <w:r>
        <w:t xml:space="preserve">- Momentum add capacity: 0.375% (on breakout to $3.00+)</w:t>
      </w:r>
    </w:p>
    <w:p>
      <w:pPr>
        <w:pStyle w:val="BodyText"/>
      </w:pPr>
      <w:r>
        <w:rPr>
          <w:bCs/>
          <w:b/>
        </w:rPr>
        <w:t xml:space="preserve">Risk Management:</w:t>
      </w:r>
      <w:r>
        <w:t xml:space="preserve"> </w:t>
      </w:r>
      <w:r>
        <w:t xml:space="preserve">- Max loss if position goes to $0: -1.5% portfolio impact</w:t>
      </w:r>
      <w:r>
        <w:t xml:space="preserve"> </w:t>
      </w:r>
      <w:r>
        <w:t xml:space="preserve">- Expected loss (25% fail prob × -70% loss × 1.5% position): -0.26% portfolio impact</w:t>
      </w:r>
      <w:r>
        <w:t xml:space="preserve"> </w:t>
      </w:r>
      <w:r>
        <w:t xml:space="preserve">- Expected gain (75% success prob × +200% avg gain × 1.5% position): +2.25% portfolio impact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expected impact:</w:t>
      </w:r>
      <w:r>
        <w:t xml:space="preserve"> </w:t>
      </w:r>
      <w:r>
        <w:t xml:space="preserve">+1.99% portfolio return</w:t>
      </w:r>
    </w:p>
    <w:p>
      <w:pPr>
        <w:pStyle w:val="BodyText"/>
      </w:pPr>
      <w:r>
        <w:rPr>
          <w:bCs/>
          <w:b/>
        </w:rPr>
        <w:t xml:space="preserve">Portfolio Role: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Bucket:</w:t>
      </w:r>
      <w:r>
        <w:t xml:space="preserve"> </w:t>
      </w:r>
      <w:r>
        <w:t xml:space="preserve">High-Risk / Catalyst-Driven Biotech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Asymmetric binary event exposure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Correlation:</w:t>
      </w:r>
      <w:r>
        <w:t xml:space="preserve"> </w:t>
      </w:r>
      <w:r>
        <w:t xml:space="preserve">Low/zero correlation to broader market (idiosyncratic risk)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X5a8ba2b913db4aff6e90f126e69a02c6c97d1d8"/>
    <w:p>
      <w:pPr>
        <w:pStyle w:val="Heading2"/>
      </w:pPr>
      <w:r>
        <w:t xml:space="preserve">9. FINAL RECOMMENDATION &amp; INVESTMENT FRAMEWORK</w:t>
      </w:r>
    </w:p>
    <w:bookmarkStart w:id="79" w:name="final-recommendation-buy"/>
    <w:p>
      <w:pPr>
        <w:pStyle w:val="Heading3"/>
      </w:pPr>
      <w:r>
        <w:t xml:space="preserve">FINAL RECOMMENDATION:</w:t>
      </w:r>
      <w:r>
        <w:t xml:space="preserve"> </w:t>
      </w:r>
      <w:r>
        <w:rPr>
          <w:bCs/>
          <w:b/>
        </w:rPr>
        <w:t xml:space="preserve">BUY</w:t>
      </w:r>
    </w:p>
    <w:p>
      <w:pPr>
        <w:pStyle w:val="FirstParagraph"/>
      </w:pPr>
      <w:r>
        <w:t xml:space="preserve">Gossamer Bio (GOSS) represents a compelling, high-conviction catalyst-driven opportunity with a positively skewed risk/reward profile. The market is mispricing the probability of success for seralutinib in PAH due to an overhang from past failures (PH-ILD termination), while underappreciating the strengths of the Phase 2 data and the optimized Phase 3 design.</w:t>
      </w:r>
    </w:p>
    <w:p>
      <w:pPr>
        <w:pStyle w:val="BodyText"/>
      </w:pPr>
      <w:r>
        <w:rPr>
          <w:bCs/>
          <w:b/>
        </w:rPr>
        <w:t xml:space="preserve">Key Supporting Factors: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Mispriced probability:</w:t>
      </w:r>
      <w:r>
        <w:t xml:space="preserve"> </w:t>
      </w:r>
      <w:r>
        <w:t xml:space="preserve">Market implies ~25% PoS vs. our 45-50% assessment (20-25 point edge)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Asymmetric payoff:</w:t>
      </w:r>
      <w:r>
        <w:t xml:space="preserve"> </w:t>
      </w:r>
      <w:r>
        <w:t xml:space="preserve">2.5:1 upside/downside ratio, capped downside at cash value (~$0.70)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Near-term catalyst:</w:t>
      </w:r>
      <w:r>
        <w:t xml:space="preserve"> </w:t>
      </w:r>
      <w:r>
        <w:t xml:space="preserve">6-8 weeks to binary event, defined timeline, high-quality trial design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De-risked balance sheet:</w:t>
      </w:r>
      <w:r>
        <w:t xml:space="preserve"> </w:t>
      </w:r>
      <w:r>
        <w:t xml:space="preserve">$180M cash, no dilution overhang before catalyst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Institutional validation:</w:t>
      </w:r>
      <w:r>
        <w:t xml:space="preserve"> </w:t>
      </w:r>
      <w:r>
        <w:t xml:space="preserve">72% institutional ownership, elite funds likely to enter post-success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Partnership optionality:</w:t>
      </w:r>
      <w:r>
        <w:t xml:space="preserve"> </w:t>
      </w:r>
      <w:r>
        <w:t xml:space="preserve">Chiesi provides commercial muscle and milestone upside</w:t>
      </w:r>
    </w:p>
    <w:bookmarkEnd w:id="79"/>
    <w:bookmarkStart w:id="80" w:name="investment-framework-summary"/>
    <w:p>
      <w:pPr>
        <w:pStyle w:val="Heading3"/>
      </w:pPr>
      <w:r>
        <w:t xml:space="preserve">Investment Framework Summary</w:t>
      </w:r>
    </w:p>
    <w:p>
      <w:pPr>
        <w:pStyle w:val="FirstParagraph"/>
      </w:pPr>
      <w:r>
        <w:rPr>
          <w:bCs/>
          <w:b/>
        </w:rPr>
        <w:t xml:space="preserve">Style:</w:t>
      </w:r>
      <w:r>
        <w:t xml:space="preserve"> </w:t>
      </w:r>
      <w:r>
        <w:t xml:space="preserve">Binary Event / Catalyst Play</w:t>
      </w:r>
      <w:r>
        <w:br/>
      </w:r>
      <w:r>
        <w:rPr>
          <w:bCs/>
          <w:b/>
        </w:rPr>
        <w:t xml:space="preserve">Portfolio Role:</w:t>
      </w:r>
      <w:r>
        <w:t xml:space="preserve"> </w:t>
      </w:r>
      <w:r>
        <w:t xml:space="preserve">Speculative allocation within high-risk biotech sleeve</w:t>
      </w:r>
      <w:r>
        <w:br/>
      </w:r>
      <w:r>
        <w:rPr>
          <w:bCs/>
          <w:b/>
        </w:rPr>
        <w:t xml:space="preserve">Time Horizon:</w:t>
      </w:r>
      <w:r>
        <w:t xml:space="preserve"> </w:t>
      </w:r>
      <w:r>
        <w:t xml:space="preserve">6-8 weeks to catalyst, 6-12 months for full thesis realization post-success</w:t>
      </w:r>
      <w:r>
        <w:br/>
      </w:r>
      <w:r>
        <w:rPr>
          <w:bCs/>
          <w:b/>
        </w:rPr>
        <w:t xml:space="preserve">Maximum Position Size:</w:t>
      </w:r>
      <w:r>
        <w:t xml:space="preserve"> </w:t>
      </w:r>
      <w:r>
        <w:t xml:space="preserve">1.0-1.5% of total portfolio value (3.0% maximum in high-risk bucket)</w:t>
      </w:r>
    </w:p>
    <w:p>
      <w:pPr>
        <w:pStyle w:val="BodyText"/>
      </w:pPr>
      <w:r>
        <w:rPr>
          <w:bCs/>
          <w:b/>
        </w:rPr>
        <w:t xml:space="preserve">Entry Strategy:</w:t>
      </w:r>
      <w:r>
        <w:t xml:space="preserve"> </w:t>
      </w:r>
      <w:r>
        <w:t xml:space="preserve">- Core position (0.75%): $2.30-2.50 (current levels) —</w:t>
      </w:r>
      <w:r>
        <w:t xml:space="preserve"> </w:t>
      </w:r>
      <w:r>
        <w:rPr>
          <w:bCs/>
          <w:b/>
        </w:rPr>
        <w:t xml:space="preserve">INITIATE NOW</w:t>
      </w:r>
      <w:r>
        <w:t xml:space="preserve"> </w:t>
      </w:r>
      <w:r>
        <w:t xml:space="preserve">- Tactical add (0.375%): $1.80-2.00 (on weakness)</w:t>
      </w:r>
      <w:r>
        <w:t xml:space="preserve"> </w:t>
      </w:r>
      <w:r>
        <w:t xml:space="preserve">- Momentum add (0.375%): $3.00-3.20 (on breakout)</w:t>
      </w:r>
    </w:p>
    <w:p>
      <w:pPr>
        <w:pStyle w:val="BodyText"/>
      </w:pPr>
      <w:r>
        <w:rPr>
          <w:bCs/>
          <w:b/>
        </w:rPr>
        <w:t xml:space="preserve">Exit Strategy:</w:t>
      </w:r>
      <w:r>
        <w:t xml:space="preserve"> </w:t>
      </w:r>
      <w:r>
        <w:t xml:space="preserve">- Stop loss: $1.60 (fundamental deterioration)</w:t>
      </w:r>
      <w:r>
        <w:t xml:space="preserve"> </w:t>
      </w:r>
      <w:r>
        <w:t xml:space="preserve">- Pre-catalyst trim: Consider at $3.50-4.00 (reduce binary exposure)</w:t>
      </w:r>
      <w:r>
        <w:t xml:space="preserve"> </w:t>
      </w:r>
      <w:r>
        <w:t xml:space="preserve">- Post-success: Sell 50% immediately, hold 50% with trailing stop for $10-15 targets</w:t>
      </w:r>
    </w:p>
    <w:p>
      <w:pPr>
        <w:pStyle w:val="BodyText"/>
      </w:pPr>
      <w:r>
        <w:rPr>
          <w:bCs/>
          <w:b/>
        </w:rPr>
        <w:t xml:space="preserve">Key Monitorables:</w:t>
      </w:r>
      <w:r>
        <w:t xml:space="preserve"> </w:t>
      </w:r>
      <w:r>
        <w:t xml:space="preserve">- PROSERA enrollment/trial integrity updates</w:t>
      </w:r>
      <w:r>
        <w:t xml:space="preserve"> </w:t>
      </w:r>
      <w:r>
        <w:t xml:space="preserve">- Any pre-announcements or analyst access</w:t>
      </w:r>
      <w:r>
        <w:t xml:space="preserve"> </w:t>
      </w:r>
      <w:r>
        <w:t xml:space="preserve">- Insider buying/selling activity</w:t>
      </w:r>
      <w:r>
        <w:br/>
      </w:r>
      <w:r>
        <w:t xml:space="preserve">- Quarterly cash burn (should remain stable at $20-25M/quarter)</w:t>
      </w:r>
      <w:r>
        <w:t xml:space="preserve"> </w:t>
      </w:r>
      <w:r>
        <w:t xml:space="preserve">- Q4 2025 13F filings (due Feb 14, 2026) for elite fund positioning</w:t>
      </w:r>
    </w:p>
    <w:p>
      <w:pPr>
        <w:pStyle w:val="BodyText"/>
      </w:pPr>
      <w:r>
        <w:rPr>
          <w:bCs/>
          <w:b/>
        </w:rPr>
        <w:t xml:space="preserve">Critical Date:</w:t>
      </w:r>
      <w:r>
        <w:t xml:space="preserve"> </w:t>
      </w:r>
      <w:r>
        <w:t xml:space="preserve">February 2026 (PROSERA Topline Data Readout)</w:t>
      </w:r>
    </w:p>
    <w:bookmarkEnd w:id="80"/>
    <w:bookmarkStart w:id="81" w:name="decision-matrix-for-investment-committee"/>
    <w:p>
      <w:pPr>
        <w:pStyle w:val="Heading3"/>
      </w:pPr>
      <w:r>
        <w:t xml:space="preserve">Decision Matrix for Investment Committee</w:t>
      </w:r>
    </w:p>
    <w:p>
      <w:pPr>
        <w:pStyle w:val="FirstParagraph"/>
      </w:pPr>
      <w:r>
        <w:rPr>
          <w:bCs/>
          <w:b/>
        </w:rPr>
        <w:t xml:space="preserve">Approve If:</w:t>
      </w:r>
      <w:r>
        <w:t xml:space="preserve"> </w:t>
      </w:r>
      <w:r>
        <w:t xml:space="preserve">- Committee is comfortable with 1.0-1.5% allocation to single binary event</w:t>
      </w:r>
      <w:r>
        <w:t xml:space="preserve"> </w:t>
      </w:r>
      <w:r>
        <w:t xml:space="preserve">- Portfolio has capacity in high-risk biotech bucket</w:t>
      </w:r>
      <w:r>
        <w:t xml:space="preserve"> </w:t>
      </w:r>
      <w:r>
        <w:t xml:space="preserve">- Risk tolerance aligns with -70% downside / +200-500% upside profile</w:t>
      </w:r>
    </w:p>
    <w:p>
      <w:pPr>
        <w:pStyle w:val="BodyText"/>
      </w:pPr>
      <w:r>
        <w:rPr>
          <w:bCs/>
          <w:b/>
        </w:rPr>
        <w:t xml:space="preserve">Conditions:</w:t>
      </w:r>
      <w:r>
        <w:t xml:space="preserve"> </w:t>
      </w:r>
      <w:r>
        <w:t xml:space="preserve">- Position size not to exceed 1.5% of portfolio</w:t>
      </w:r>
      <w:r>
        <w:t xml:space="preserve"> </w:t>
      </w:r>
      <w:r>
        <w:t xml:space="preserve">- Implement hard stop at $1.60 (breach requires IC notification)</w:t>
      </w:r>
      <w:r>
        <w:t xml:space="preserve"> </w:t>
      </w:r>
      <w:r>
        <w:t xml:space="preserve">- Mandatory review 2 weeks pre-catalyst for potential de-risking</w:t>
      </w:r>
    </w:p>
    <w:p>
      <w:pPr>
        <w:pStyle w:val="BodyText"/>
      </w:pPr>
      <w:r>
        <w:rPr>
          <w:bCs/>
          <w:b/>
        </w:rPr>
        <w:t xml:space="preserve">Reject If:</w:t>
      </w:r>
      <w:r>
        <w:t xml:space="preserve"> </w:t>
      </w:r>
      <w:r>
        <w:t xml:space="preserve">- Portfolio already overweight biotech catalyst trades</w:t>
      </w:r>
      <w:r>
        <w:t xml:space="preserve"> </w:t>
      </w:r>
      <w:r>
        <w:t xml:space="preserve">- Risk budget exhausted in high-risk sleeve</w:t>
      </w:r>
      <w:r>
        <w:br/>
      </w:r>
      <w:r>
        <w:t xml:space="preserve">- Committee requires lower-volatility opportunities</w:t>
      </w:r>
    </w:p>
    <w:bookmarkEnd w:id="81"/>
    <w:bookmarkStart w:id="82" w:name="expected-value-return-summary"/>
    <w:p>
      <w:pPr>
        <w:pStyle w:val="Heading3"/>
      </w:pPr>
      <w:r>
        <w:t xml:space="preserve">Expected Value &amp; Return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 (rNPV-based)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Probability-Weighted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Return (from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months to catalyst, 6-12 months full 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Annualized Return (if base case)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Probability-Adjusted Portfolio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+1.99% (on 1.5% allocation)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Sharpe-Equivalent (binary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&gt;2.0</w:t>
            </w:r>
          </w:p>
        </w:tc>
      </w:tr>
    </w:tbl>
    <w:bookmarkEnd w:id="82"/>
    <w:bookmarkStart w:id="83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For investors with the risk tolerance for binary outcomes, GOSS offers a rare combination of:</w:t>
      </w:r>
      <w:r>
        <w:t xml:space="preserve"> </w:t>
      </w:r>
      <w:r>
        <w:t xml:space="preserve">- Clear catalyst timeline</w:t>
      </w:r>
      <w:r>
        <w:t xml:space="preserve"> </w:t>
      </w:r>
      <w:r>
        <w:t xml:space="preserve">- Capped downside (near cash value floor)</w:t>
      </w:r>
      <w:r>
        <w:t xml:space="preserve"> </w:t>
      </w:r>
      <w:r>
        <w:t xml:space="preserve">- Substantial multibagger upside potential</w:t>
      </w:r>
      <w:r>
        <w:t xml:space="preserve"> </w:t>
      </w:r>
      <w:r>
        <w:t xml:space="preserve">- Mispriced probability of success</w:t>
      </w:r>
    </w:p>
    <w:p>
      <w:pPr>
        <w:pStyle w:val="BodyText"/>
      </w:pPr>
      <w:r>
        <w:t xml:space="preserve">We recommend initiating a structured position ahead of the anticipated volatility expansion in late January 2026, with the understanding that this is a binary catalyst trade requiring active management through the February 2026 data readout.</w:t>
      </w:r>
    </w:p>
    <w:p>
      <w:pPr>
        <w:pStyle w:val="BodyText"/>
      </w:pPr>
      <w:r>
        <w:t xml:space="preserve">The investment committee’s approval is requested for a maximum 1.5% position allocation, staged entry approach, and defined risk management parameters as outlined in Section 8.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ppendix-a-catalyst-calendar-detailed"/>
    <w:p>
      <w:pPr>
        <w:pStyle w:val="Heading2"/>
      </w:pPr>
      <w:r>
        <w:t xml:space="preserve">APPENDIX A: CATALYST CALENDAR (DETAILED)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980"/>
        <w:gridCol w:w="22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 earnings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burn update, corporate developments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25-Feb 5,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pre-announcement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pattern: companies often provide data timing 1-2 weeks 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 13F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 show elite fund positioning (or lack thereof)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Mid-Feb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PROSERA Topline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Make-or-break catalyst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2026 (if positive)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$10M milestone from Chiesi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2027 (if positive)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approval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$25M milestone from Chiesi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appendix-b-comparable-company-analysis"/>
    <w:p>
      <w:pPr>
        <w:pStyle w:val="Heading2"/>
      </w:pPr>
      <w:r>
        <w:t xml:space="preserve">APPENDIX B: COMPARABLE COMPANY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3"/>
        <w:gridCol w:w="1361"/>
        <w:gridCol w:w="1113"/>
        <w:gridCol w:w="1485"/>
        <w:gridCol w:w="742"/>
        <w:gridCol w:w="495"/>
        <w:gridCol w:w="495"/>
        <w:gridCol w:w="11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(our 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valuation for approved rare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hormone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near readout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catalyst 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Best-in-class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RYTM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Obesity-related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disease, premium pricing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Takeaway:</w:t>
      </w:r>
      <w:r>
        <w:t xml:space="preserve"> </w:t>
      </w:r>
      <w:r>
        <w:t xml:space="preserve">GOSS trading at &lt;1x cash suggests market assigns minimal value to seralutinib. Comparable Phase 3 biotechs trade at 2-4x cash, suggesting significant upside potential if data positive.</w:t>
      </w:r>
    </w:p>
    <w:p>
      <w:r>
        <w:pict>
          <v:rect style="width:0;height:1.5pt" o:hralign="center" o:hrstd="t" o:hr="t"/>
        </w:pict>
      </w:r>
    </w:p>
    <w:bookmarkEnd w:id="86"/>
    <w:bookmarkStart w:id="87" w:name="disclosures"/>
    <w:p>
      <w:pPr>
        <w:pStyle w:val="Heading2"/>
      </w:pPr>
      <w:r>
        <w:t xml:space="preserve">DISCLOSURES</w:t>
      </w:r>
    </w:p>
    <w:p>
      <w:pPr>
        <w:pStyle w:val="FirstParagraph"/>
      </w:pPr>
      <w:r>
        <w:rPr>
          <w:bCs/>
          <w:b/>
        </w:rPr>
        <w:t xml:space="preserve">Important Information:</w:t>
      </w:r>
      <w:r>
        <w:t xml:space="preserve"> </w:t>
      </w:r>
      <w:r>
        <w:t xml:space="preserve">This report is prepared for informational and discussion purposes only and does not constitute investment advice, an offer to sell, or a solicitation to buy any securities. The views and opinions expressed are those of Wake Robin Capital Management as of January 11, 2026, and are subject to change without notice.</w:t>
      </w:r>
    </w:p>
    <w:p>
      <w:pPr>
        <w:pStyle w:val="BodyText"/>
      </w:pPr>
      <w:r>
        <w:rPr>
          <w:bCs/>
          <w:b/>
        </w:rPr>
        <w:t xml:space="preserve">Risks:</w:t>
      </w:r>
      <w:r>
        <w:t xml:space="preserve"> </w:t>
      </w:r>
      <w:r>
        <w:t xml:space="preserve">- Biotech investments involve substantial risk, including potential loss of principal</w:t>
      </w:r>
      <w:r>
        <w:t xml:space="preserve"> </w:t>
      </w:r>
      <w:r>
        <w:t xml:space="preserve">- Clinical trials may fail despite positive preclinical or earlier-stage data</w:t>
      </w:r>
      <w:r>
        <w:t xml:space="preserve"> </w:t>
      </w:r>
      <w:r>
        <w:t xml:space="preserve">- Regulatory approval is not guaranteed even with positive trial results</w:t>
      </w:r>
      <w:r>
        <w:t xml:space="preserve"> </w:t>
      </w:r>
      <w:r>
        <w:t xml:space="preserve">- Market conditions may change materially from assumptions</w:t>
      </w:r>
      <w:r>
        <w:t xml:space="preserve"> </w:t>
      </w:r>
      <w:r>
        <w:t xml:space="preserve">- Past performance does not guarantee future results</w:t>
      </w:r>
    </w:p>
    <w:p>
      <w:pPr>
        <w:pStyle w:val="BodyText"/>
      </w:pPr>
      <w:r>
        <w:rPr>
          <w:bCs/>
          <w:b/>
        </w:rPr>
        <w:t xml:space="preserve">Due Diligence:</w:t>
      </w:r>
      <w:r>
        <w:t xml:space="preserve"> </w:t>
      </w:r>
      <w:r>
        <w:t xml:space="preserve">Investors should conduct their own independent analysis and consult with qualified financial advisors before making any investment decisions. This report should not be the sole basis for investment decisions.</w:t>
      </w:r>
    </w:p>
    <w:p>
      <w:pPr>
        <w:pStyle w:val="BodyText"/>
      </w:pPr>
      <w:r>
        <w:rPr>
          <w:bCs/>
          <w:b/>
        </w:rPr>
        <w:t xml:space="preserve">Conflicts:</w:t>
      </w:r>
      <w:r>
        <w:t xml:space="preserve"> </w:t>
      </w:r>
      <w:r>
        <w:t xml:space="preserve">Wake Robin Capital Management and its affiliates may hold positions in securities discussed in this report. Analysts may have personal holdings in GOSS or related securities.</w:t>
      </w:r>
    </w:p>
    <w:p>
      <w:pPr>
        <w:pStyle w:val="BodyText"/>
      </w:pPr>
      <w:r>
        <w:rPr>
          <w:bCs/>
          <w:b/>
        </w:rPr>
        <w:t xml:space="preserve">Forward-Looking Statements:</w:t>
      </w:r>
      <w:r>
        <w:t xml:space="preserve"> </w:t>
      </w:r>
      <w:r>
        <w:t xml:space="preserve">This report contains forward-looking statements based on current expectations, estimates, and projections. Actual results may differ materially from those expressed or implied by such statements.</w:t>
      </w:r>
    </w:p>
    <w:p>
      <w:pPr>
        <w:pStyle w:val="BodyText"/>
      </w:pPr>
      <w:r>
        <w:rPr>
          <w:bCs/>
          <w:b/>
        </w:rPr>
        <w:t xml:space="preserve">Sources:</w:t>
      </w:r>
      <w:r>
        <w:t xml:space="preserve"> </w:t>
      </w:r>
      <w:r>
        <w:t xml:space="preserve">Analysis based on publicly available information including SEC filings, company press releases, ClinicalTrials.gov, scientific publications, and proprietary research. Information believed to be reliable but accuracy not guaranteed.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Prepared By:</w:t>
      </w:r>
      <w:r>
        <w:br/>
      </w:r>
      <w:r>
        <w:t xml:space="preserve">Wake Robin Capital Management Research Team</w:t>
      </w:r>
      <w:r>
        <w:br/>
      </w:r>
      <w:r>
        <w:t xml:space="preserve">January 11, 2026</w:t>
      </w:r>
    </w:p>
    <w:p>
      <w:pPr>
        <w:pStyle w:val="BodyTex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Investment Committee Members Only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Strictly Confidential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2026-01-11T06:44:52Z</dcterms:created>
  <dcterms:modified xsi:type="dcterms:W3CDTF">2026-01-11T06:44:52Z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