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before="0" w:after="80"/>
      </w:pPr>
      <w:r>
        <w:rPr>
          <w:rFonts w:ascii="Calibri" w:hAnsi="Calibri"/>
          <w:b/>
          <w:color w:val="000000"/>
          <w:sz w:val="46"/>
        </w:rPr>
        <w:t>INVESTMENT STRATEGY STATEMENT</w:t>
      </w:r>
    </w:p>
    <w:p>
      <w:pPr>
        <w:spacing w:before="0" w:after="280"/>
      </w:pPr>
      <w:r>
        <w:rPr>
          <w:rFonts w:ascii="Calibri" w:hAnsi="Calibri"/>
          <w:color w:val="555555"/>
          <w:sz w:val="28"/>
        </w:rPr>
        <w:t>Darren Schulz</w:t>
      </w:r>
    </w:p>
    <w:p>
      <w:pPr>
        <w:spacing w:before="0" w:after="40"/>
      </w:pPr>
      <w:r>
        <w:rPr>
          <w:rFonts w:ascii="Calibri" w:hAnsi="Calibri"/>
          <w:b/>
          <w:color w:val="000000"/>
          <w:sz w:val="22"/>
        </w:rPr>
        <w:t xml:space="preserve">Date: </w:t>
      </w:r>
      <w:r>
        <w:rPr>
          <w:rFonts w:ascii="Calibri" w:hAnsi="Calibri"/>
          <w:color w:val="000000"/>
          <w:sz w:val="22"/>
        </w:rPr>
        <w:t>June 25, 2026</w:t>
      </w:r>
    </w:p>
    <w:p>
      <w:pPr>
        <w:spacing w:before="0" w:after="40"/>
      </w:pPr>
      <w:r>
        <w:rPr>
          <w:rFonts w:ascii="Calibri" w:hAnsi="Calibri"/>
          <w:b/>
          <w:color w:val="000000"/>
          <w:sz w:val="22"/>
        </w:rPr>
        <w:t xml:space="preserve">Purpose: </w:t>
      </w:r>
      <w:r>
        <w:rPr>
          <w:rFonts w:ascii="Calibri" w:hAnsi="Calibri"/>
          <w:color w:val="000000"/>
          <w:sz w:val="22"/>
        </w:rPr>
        <w:t>Durable household/family-office capital reference and professional mandate.</w:t>
      </w:r>
    </w:p>
    <w:p>
      <w:pPr>
        <w:spacing w:before="0" w:after="40"/>
      </w:pPr>
      <w:r>
        <w:rPr>
          <w:rFonts w:ascii="Calibri" w:hAnsi="Calibri"/>
          <w:b/>
          <w:color w:val="000000"/>
          <w:sz w:val="22"/>
        </w:rPr>
        <w:t xml:space="preserve">Scope: </w:t>
      </w:r>
      <w:r>
        <w:rPr>
          <w:rFonts w:ascii="Calibri" w:hAnsi="Calibri"/>
          <w:color w:val="000000"/>
          <w:sz w:val="22"/>
        </w:rPr>
        <w:t>Strategy/philosophy statement; not a compliance IPS or advice.</w:t>
      </w:r>
    </w:p>
    <w:p>
      <w:pPr>
        <w:spacing w:before="0" w:after="40"/>
      </w:pPr>
      <w:r>
        <w:rPr>
          <w:rFonts w:ascii="Calibri" w:hAnsi="Calibri"/>
          <w:b/>
          <w:color w:val="000000"/>
          <w:sz w:val="22"/>
        </w:rPr>
        <w:t xml:space="preserve">Posture: </w:t>
      </w:r>
      <w:r>
        <w:rPr>
          <w:rFonts w:ascii="Calibri" w:hAnsi="Calibri"/>
          <w:color w:val="000000"/>
          <w:sz w:val="22"/>
        </w:rPr>
        <w:t>Capital preservation first; automation gated by manual validation.</w:t>
      </w:r>
    </w:p>
    <w:p>
      <w:pPr>
        <w:spacing w:before="200" w:after="240"/>
        <w:pBdr>
          <w:bottom w:val="single" w:sz="8" w:space="8" w:color="B8C7D9"/>
        </w:pBdr>
      </w:pPr>
    </w:p>
    <w:p>
      <w:pPr>
        <w:spacing w:before="0" w:after="240" w:line="280" w:lineRule="auto"/>
        <w:ind w:left="173" w:right="173"/>
        <w:shd w:val="clear" w:color="auto" w:fill="F4F6F9"/>
      </w:pPr>
      <w:r>
        <w:rPr>
          <w:rFonts w:ascii="Calibri" w:hAnsi="Calibri"/>
          <w:b/>
          <w:color w:val="0B2545"/>
          <w:sz w:val="21"/>
        </w:rPr>
        <w:t xml:space="preserve">Reference frame: </w:t>
      </w:r>
      <w:r>
        <w:rPr>
          <w:rFonts w:ascii="Calibri" w:hAnsi="Calibri"/>
          <w:color w:val="000000"/>
          <w:sz w:val="21"/>
        </w:rPr>
        <w:t>Drafted June 25, 2026. A durable reference for the household/family-office capital approach and the professional mandate. This is a strategy/philosophy statement, not a compliance IPS or advice.</w:t>
      </w:r>
    </w:p>
    <w:p>
      <w:pPr>
        <w:pStyle w:val="Heading2"/>
      </w:pPr>
      <w:r>
        <w:t>Architecture at a glance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656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Layer</w:t>
            </w:r>
          </w:p>
        </w:tc>
        <w:tc>
          <w:tcPr>
            <w:tcW w:type="dxa" w:w="2808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Expression</w:t>
            </w:r>
          </w:p>
        </w:tc>
        <w:tc>
          <w:tcPr>
            <w:tcW w:type="dxa" w:w="4896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Role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Core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Quality compounders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Concentrated pricing-power book.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Satellite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Biotech coinvest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Signal-driven, tax-advantaged, separately governed.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Architecture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Family-office / endowment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Liquidity, pacing, allocation, and spending discipline.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Mandate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Real estate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9"/>
              </w:rPr>
              <w:t>Digital-first, hospitality-minded operating platform.</w:t>
            </w:r>
          </w:p>
        </w:tc>
      </w:tr>
    </w:tbl>
    <w:p>
      <w:pPr>
        <w:pStyle w:val="Heading2"/>
      </w:pPr>
      <w:r>
        <w:t>Purpose &amp; first principles</w:t>
      </w:r>
    </w:p>
    <w:p>
      <w:pPr>
        <w:pStyle w:val="ListBullet"/>
        <w:keepLines/>
      </w:pPr>
      <w:r>
        <w:rPr>
          <w:rFonts w:ascii="Calibri" w:hAnsi="Calibri"/>
          <w:color w:val="000000"/>
          <w:sz w:val="22"/>
        </w:rPr>
        <w:t>Capital preservation is the first rule. "What kills you is permanent loss of capital." Size every position and commitment for survivability before return.</w:t>
      </w:r>
    </w:p>
    <w:p>
      <w:pPr>
        <w:pStyle w:val="ListBullet"/>
        <w:keepLines/>
      </w:pPr>
      <w:r>
        <w:rPr>
          <w:rFonts w:ascii="Calibri" w:hAnsi="Calibri"/>
          <w:color w:val="000000"/>
          <w:sz w:val="22"/>
        </w:rPr>
        <w:t>Separate verified facts from recommendations, favor reproducible/point-in-time-safe data, and gate any automation behind manual validation.</w:t>
      </w:r>
    </w:p>
    <w:p>
      <w:pPr>
        <w:pStyle w:val="ListBullet"/>
        <w:keepLines/>
      </w:pPr>
      <w:r>
        <w:rPr>
          <w:rFonts w:ascii="Calibri" w:hAnsi="Calibri"/>
          <w:color w:val="000000"/>
          <w:sz w:val="22"/>
        </w:rPr>
        <w:t>The overall approach is a deliberate barbell: a concentrated quality-compounder core + a systematic, signal-driven biotech satellite, governed by family-office liquidity and pacing discipline, and anchored professionally in real estate.</w:t>
      </w:r>
    </w:p>
    <w:p>
      <w:pPr>
        <w:pStyle w:val="Heading1"/>
      </w:pPr>
      <w:r>
        <w:t>Layer 1 — Core equity philosophy: Hohn / TCI quality</w:t>
      </w:r>
    </w:p>
    <w:p>
      <w:pPr>
        <w:pStyle w:val="ListBullet"/>
        <w:keepLines/>
      </w:pPr>
      <w:r>
        <w:rPr>
          <w:rFonts w:ascii="Calibri" w:hAnsi="Calibri"/>
          <w:color w:val="000000"/>
          <w:sz w:val="22"/>
        </w:rPr>
        <w:t>Pricing power above inflation is the single moat test. Target businesses that can raise price in real terms indefinitely (≈20% margins + ~1% real pricing → profit growth above revenue, compounding).</w:t>
      </w:r>
    </w:p>
    <w:p>
      <w:pPr>
        <w:pStyle w:val="ListBullet"/>
        <w:keepLines/>
      </w:pPr>
      <w:r>
        <w:rPr>
          <w:rFonts w:ascii="Calibri" w:hAnsi="Calibri"/>
          <w:color w:val="000000"/>
          <w:sz w:val="22"/>
        </w:rPr>
        <w:t>Concentrate. A tiny investable universe (~200 names globally); hold ~15; multi-year holds (~8 years average).</w:t>
      </w:r>
    </w:p>
    <w:p>
      <w:pPr>
        <w:pStyle w:val="ListBullet"/>
        <w:keepLines/>
      </w:pPr>
      <w:r>
        <w:rPr>
          <w:rFonts w:ascii="Calibri" w:hAnsi="Calibri"/>
          <w:color w:val="000000"/>
          <w:sz w:val="22"/>
        </w:rPr>
        <w:t>Sell on conviction loss, not valuation.</w:t>
      </w:r>
    </w:p>
    <w:p>
      <w:pPr>
        <w:pStyle w:val="ListBullet"/>
        <w:keepLines/>
      </w:pPr>
      <w:r>
        <w:rPr>
          <w:rFonts w:ascii="Calibri" w:hAnsi="Calibri"/>
          <w:color w:val="000000"/>
          <w:sz w:val="22"/>
        </w:rPr>
        <w:t>No shorting (funding risk too high even when right).</w:t>
      </w:r>
    </w:p>
    <w:p>
      <w:pPr>
        <w:pStyle w:val="ListBullet"/>
        <w:keepLines/>
      </w:pPr>
      <w:r>
        <w:rPr>
          <w:rFonts w:ascii="Calibri" w:hAnsi="Calibri"/>
          <w:color w:val="000000"/>
          <w:sz w:val="22"/>
        </w:rPr>
        <w:t>"AI eats software" thesis (June 2026): AI agents dissolving per-seat SaaS lock-in re-rate the SaaS model. Filter: can the company still price above inflation once the workflow moat erodes from above? If the moat is workflow lock-in, AI breaks it; if it's genuine pricing power, AI strengthens it. Expression: trimmed Microsoft hard, rotated toward pricing-power compounders (Alphabet as funded destination; GE Aerospace, Visa, Moody's, S&amp;P Global as the reference book). Holds the nuance that this is a real quality-investor disagreement (Ackman took the other side on MSFT) and stress-tests the same "moat isn't the model, it's context" logic against the a16z/Town case.</w:t>
      </w:r>
    </w:p>
    <w:p>
      <w:pPr>
        <w:pStyle w:val="Heading2"/>
      </w:pPr>
      <w:r>
        <w:t>Structural exclusions (core book)</w:t>
      </w:r>
    </w:p>
    <w:p>
      <w:pPr>
        <w:spacing w:before="40" w:after="240" w:line="280" w:lineRule="auto"/>
        <w:ind w:left="173" w:right="173"/>
        <w:shd w:val="clear" w:color="auto" w:fill="F2F4F7"/>
      </w:pPr>
      <w:r>
        <w:rPr>
          <w:rFonts w:ascii="Calibri" w:hAnsi="Calibri"/>
          <w:b/>
          <w:color w:val="0B2545"/>
          <w:sz w:val="21"/>
        </w:rPr>
        <w:t xml:space="preserve">Excluded from the core book: </w:t>
      </w:r>
      <w:r>
        <w:rPr>
          <w:rFonts w:ascii="Calibri" w:hAnsi="Calibri"/>
          <w:color w:val="000000"/>
          <w:sz w:val="21"/>
        </w:rPr>
        <w:t>Banks, autos, retail, insurance, asset managers, tobacco, airlines, wireless telecom, media, advertising, fossil-fuel utilities.</w:t>
      </w:r>
    </w:p>
    <w:p>
      <w:pPr>
        <w:pStyle w:val="Heading1"/>
      </w:pPr>
      <w:r>
        <w:t>Layer 2 — Biotech coinvest satellite: systematic, institutional-signal-driven</w:t>
      </w:r>
    </w:p>
    <w:p>
      <w:pPr>
        <w:pStyle w:val="ListBullet"/>
        <w:keepLines/>
      </w:pPr>
      <w:r>
        <w:rPr>
          <w:rFonts w:ascii="Calibri" w:hAnsi="Calibri"/>
          <w:color w:val="000000"/>
          <w:sz w:val="22"/>
        </w:rPr>
        <w:t>Coattail-with-discipline: weight toward names where elite specialists are accumulating, rather than independent stock-picking.</w:t>
      </w:r>
    </w:p>
    <w:p>
      <w:pPr>
        <w:pStyle w:val="ListBullet"/>
        <w:keepLines/>
      </w:pPr>
      <w:r>
        <w:rPr>
          <w:rFonts w:ascii="Calibri" w:hAnsi="Calibri"/>
          <w:color w:val="000000"/>
          <w:sz w:val="22"/>
        </w:rPr>
        <w:t>Built on a 55-manager 13F registry (49 elite_core + 6 conditional). Tier 1 conviction: Fairmount Funds, Deep Track Capital, Logos Capital.</w:t>
      </w:r>
    </w:p>
    <w:p>
      <w:pPr>
        <w:pStyle w:val="ListBullet"/>
        <w:keepLines/>
      </w:pPr>
      <w:r>
        <w:rPr>
          <w:rFonts w:ascii="Calibri" w:hAnsi="Calibri"/>
          <w:color w:val="000000"/>
          <w:sz w:val="22"/>
        </w:rPr>
        <w:t>Fed by SEC EDGAR monitoring (13F, Form 4, 13D/G), a coinvest watchlist (~16 tickers), and PDUFA / clinical-catalyst tracking; time entries/exits around binary events.</w:t>
      </w:r>
    </w:p>
    <w:p>
      <w:pPr>
        <w:pStyle w:val="ListBullet"/>
        <w:keepLines/>
      </w:pPr>
      <w:r>
        <w:rPr>
          <w:rFonts w:ascii="Calibri" w:hAnsi="Calibri"/>
          <w:color w:val="000000"/>
          <w:sz w:val="22"/>
        </w:rPr>
        <w:t>Fail-closed on stale or uncertain data (uncertain/stale data triggers no-action, not a guess).</w:t>
      </w:r>
    </w:p>
    <w:p>
      <w:pPr>
        <w:pStyle w:val="Heading1"/>
      </w:pPr>
      <w:r>
        <w:t>Layer 3 — Personal-account expression &amp; tax placement</w:t>
      </w:r>
    </w:p>
    <w:p>
      <w:pPr>
        <w:pStyle w:val="ListBullet"/>
        <w:keepLines/>
      </w:pPr>
      <w:r>
        <w:rPr>
          <w:rFonts w:ascii="Calibri" w:hAnsi="Calibri"/>
          <w:color w:val="000000"/>
          <w:sz w:val="22"/>
        </w:rPr>
        <w:t>The high-turnover, high-variance biotech sleeve is placed in tax-advantaged accounts (Roth + Traditional IRAs at Robinhood) — no tax drag on turnover, tax-free upside on speculative names.</w:t>
      </w:r>
    </w:p>
    <w:p>
      <w:pPr>
        <w:pStyle w:val="ListBullet"/>
        <w:keepLines/>
      </w:pPr>
      <w:r>
        <w:rPr>
          <w:rFonts w:ascii="Calibri" w:hAnsi="Calibri"/>
          <w:color w:val="000000"/>
          <w:sz w:val="22"/>
        </w:rPr>
        <w:t>Funded by rotation, not fresh capital at scale: trim mega-cap quality/defensives to fund coinvest-basket adds (e.g., the Jun 25, 2026 run sold MSFT/LLY/JNJ/MCK/AVAV/TEVA to buy ALKS, NBIX, ARWR, NTRA, RCUS, SLDB, SYRE, etc.).</w:t>
      </w:r>
    </w:p>
    <w:p>
      <w:pPr>
        <w:pStyle w:val="ListBullet"/>
        <w:keepLines/>
      </w:pPr>
      <w:r>
        <w:rPr>
          <w:rFonts w:ascii="Calibri" w:hAnsi="Calibri"/>
          <w:color w:val="000000"/>
          <w:sz w:val="22"/>
        </w:rPr>
        <w:t>This sleeve is deliberately distinct in style from the quality-compounder core — a satellite, not a contradiction. (Full account history: see the Robinhood activity Town Doc.)</w:t>
      </w:r>
    </w:p>
    <w:p>
      <w:pPr>
        <w:pStyle w:val="Heading1"/>
      </w:pPr>
      <w:r>
        <w:t>Layer 4 — Family-office / endowment architecture</w:t>
      </w:r>
    </w:p>
    <w:p>
      <w:pPr>
        <w:pStyle w:val="ListBullet"/>
        <w:keepLines/>
      </w:pPr>
      <w:r>
        <w:rPr>
          <w:rFonts w:ascii="Calibri" w:hAnsi="Calibri"/>
          <w:color w:val="000000"/>
          <w:sz w:val="22"/>
        </w:rPr>
        <w:t>Endowment-style corpus management with family-as-dividend-policy spending discipline: flat-real, smoothing, and Guyton-Klinger guardrail withdrawal strategies; configurable spending-base denominators (total NAV vs spendable resources).</w:t>
      </w:r>
    </w:p>
    <w:p>
      <w:pPr>
        <w:pStyle w:val="ListBullet"/>
        <w:keepLines/>
      </w:pPr>
      <w:r>
        <w:rPr>
          <w:rFonts w:ascii="Calibri" w:hAnsi="Calibri"/>
          <w:color w:val="000000"/>
          <w:sz w:val="22"/>
        </w:rPr>
        <w:t>7-layer liquidity-modeling stack across multiple entities (quarterly ledger spine → entity → position/account → cash-flow → PE pacing → RE).</w:t>
      </w:r>
    </w:p>
    <w:p>
      <w:pPr>
        <w:pStyle w:val="ListBullet"/>
        <w:keepLines/>
      </w:pPr>
      <w:r>
        <w:rPr>
          <w:rFonts w:ascii="Calibri" w:hAnsi="Calibri"/>
          <w:color w:val="000000"/>
          <w:sz w:val="22"/>
        </w:rPr>
        <w:t>PE pacing via Takahashi-Alexander deterministic cash-flow projection (STAIRS market-state adapter), with commitment/recommitment policy and a call-obligation bridge.</w:t>
      </w:r>
    </w:p>
    <w:p>
      <w:pPr>
        <w:pStyle w:val="ListBullet"/>
        <w:keepLines/>
      </w:pPr>
      <w:r>
        <w:rPr>
          <w:rFonts w:ascii="Calibri" w:hAnsi="Calibri"/>
          <w:color w:val="000000"/>
          <w:sz w:val="22"/>
        </w:rPr>
        <w:t>Strategic + tactical asset allocation: CMA construction, scenario generation, optimizer selection (MVO / risk-parity / Black-Litterman), regime-conditional evaluation.</w:t>
      </w:r>
    </w:p>
    <w:p>
      <w:pPr>
        <w:pStyle w:val="Heading1"/>
      </w:pPr>
      <w:r>
        <w:t>Layer 5 — Professional mandate: real estate (Wake Robin)</w:t>
      </w:r>
    </w:p>
    <w:p>
      <w:pPr>
        <w:pStyle w:val="ListBullet"/>
        <w:keepLines/>
      </w:pPr>
      <w:r>
        <w:rPr>
          <w:rFonts w:ascii="Calibri" w:hAnsi="Calibri"/>
          <w:color w:val="000000"/>
          <w:sz w:val="22"/>
        </w:rPr>
        <w:t>Digital-first, hospitality-minded real estate: multifamily + 55+ age-qualified communities (Liv Communities, Westplan brands), primarily Southeast US.</w:t>
      </w:r>
    </w:p>
    <w:p>
      <w:pPr>
        <w:pStyle w:val="ListBullet"/>
        <w:keepLines/>
      </w:pPr>
      <w:r>
        <w:rPr>
          <w:rFonts w:ascii="Calibri" w:hAnsi="Calibri"/>
          <w:color w:val="000000"/>
          <w:sz w:val="22"/>
        </w:rPr>
        <w:t>Informed by NIC MAP occupancy/sector data and Southeast-US competitive intelligence.</w:t>
      </w:r>
    </w:p>
    <w:p>
      <w:pPr>
        <w:pStyle w:val="ListBullet"/>
        <w:keepLines/>
      </w:pPr>
      <w:r>
        <w:rPr>
          <w:rFonts w:ascii="Calibri" w:hAnsi="Calibri"/>
          <w:color w:val="000000"/>
          <w:sz w:val="22"/>
        </w:rPr>
        <w:t>Active read on proptech/AI in the operating stack (leasing agents, revenue management), with an explicit governance line on algorithmic pricing post-RealPage (first-party dynamic pricing treated as a separate legal category from competitor-data-sharing tools).</w:t>
      </w:r>
    </w:p>
    <w:p>
      <w:pPr>
        <w:pStyle w:val="Heading2"/>
      </w:pPr>
      <w:r>
        <w:t>Process &amp; governance (the throughline)</w:t>
      </w:r>
    </w:p>
    <w:p>
      <w:pPr>
        <w:pStyle w:val="ListBullet"/>
        <w:keepLines/>
      </w:pPr>
      <w:r>
        <w:rPr>
          <w:rFonts w:ascii="Calibri" w:hAnsi="Calibri"/>
          <w:color w:val="000000"/>
          <w:sz w:val="22"/>
        </w:rPr>
        <w:t>PIT-safe, deterministic, reproducible. Explicit freeze boundaries, pilot sequences, and production locks before anything goes live.</w:t>
      </w:r>
    </w:p>
    <w:p>
      <w:pPr>
        <w:pStyle w:val="ListBullet"/>
        <w:keepLines/>
      </w:pPr>
      <w:r>
        <w:rPr>
          <w:rFonts w:ascii="Calibri" w:hAnsi="Calibri"/>
          <w:color w:val="000000"/>
          <w:sz w:val="22"/>
        </w:rPr>
        <w:t>AI-augmented research operation (Town + Hermes) to industrialize monitoring and screening — but automation is gated behind manual validation cycles and operator approval.</w:t>
      </w:r>
    </w:p>
    <w:p>
      <w:pPr>
        <w:pStyle w:val="ListBullet"/>
        <w:keepLines/>
      </w:pPr>
      <w:r>
        <w:rPr>
          <w:rFonts w:ascii="Calibri" w:hAnsi="Calibri"/>
          <w:color w:val="000000"/>
          <w:sz w:val="22"/>
        </w:rPr>
        <w:t>Credentials/context: CFA + CAIA, 30+ years institutional investment management.</w:t>
      </w:r>
    </w:p>
    <w:p>
      <w:pPr>
        <w:pStyle w:val="Heading2"/>
      </w:pPr>
      <w:r>
        <w:t>Coherence note</w:t>
      </w:r>
    </w:p>
    <w:p>
      <w:pPr>
        <w:keepLines/>
        <w:spacing w:after="120"/>
        <w:shd w:val="clear" w:color="auto" w:fill="F7F9FC"/>
        <w:ind w:left="173" w:right="173"/>
      </w:pPr>
      <w:r>
        <w:rPr>
          <w:rFonts w:ascii="Calibri" w:hAnsi="Calibri"/>
          <w:color w:val="000000"/>
          <w:sz w:val="22"/>
        </w:rPr>
        <w:t>The concentrated quality core and the multi-name, higher-turnover biotech satellite are philosophically opposite by design. The barbell holds together only because the biotech sleeve is an intentional, separately-governed satellite/research-tracking expression — not core capital. Confirm this framing whenever the two are evaluated together.</w:t>
      </w:r>
    </w:p>
    <w:p>
      <w:pPr>
        <w:pStyle w:val="Heading2"/>
      </w:pPr>
      <w:r>
        <w:t>Suggested review cadence</w:t>
      </w:r>
    </w:p>
    <w:p>
      <w:pPr>
        <w:pStyle w:val="ListNumber"/>
        <w:keepLines/>
      </w:pPr>
      <w:r>
        <w:rPr>
          <w:rFonts w:ascii="Calibri" w:hAnsi="Calibri"/>
          <w:color w:val="000000"/>
          <w:sz w:val="22"/>
        </w:rPr>
        <w:t>Re-confirm thesis and structural exclusions annually, or on a material regime/thesis shift (e.g., the "AI eats software" re-rating).</w:t>
      </w:r>
    </w:p>
    <w:p>
      <w:pPr>
        <w:pStyle w:val="ListNumber"/>
        <w:keepLines/>
      </w:pPr>
      <w:r>
        <w:rPr>
          <w:rFonts w:ascii="Calibri" w:hAnsi="Calibri"/>
          <w:color w:val="000000"/>
          <w:sz w:val="22"/>
        </w:rPr>
        <w:t>Refresh the 13F registry / Tier-1 list and coinvest watchlist on the existing pipeline cadence.</w:t>
      </w:r>
    </w:p>
    <w:p>
      <w:pPr>
        <w:pStyle w:val="ListNumber"/>
        <w:keepLines/>
      </w:pPr>
      <w:r>
        <w:rPr>
          <w:rFonts w:ascii="Calibri" w:hAnsi="Calibri"/>
          <w:color w:val="000000"/>
          <w:sz w:val="22"/>
        </w:rPr>
        <w:t>Reconcile personal-account drift against the satellite mandate after large run days.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55555"/>
        <w:sz w:val="18"/>
      </w:rPr>
      <w:t xml:space="preserve">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4" w:space="8" w:color="D7DBE2"/>
      </w:pBdr>
    </w:pPr>
    <w:r/>
    <w:r>
      <w:rPr>
        <w:rFonts w:ascii="Calibri" w:hAnsi="Calibri"/>
        <w:b/>
        <w:color w:val="555555"/>
        <w:sz w:val="18"/>
      </w:rPr>
      <w:t>Investment Strategy Statement</w:t>
    </w:r>
    <w:r>
      <w:rPr>
        <w:rFonts w:ascii="Calibri" w:hAnsi="Calibri"/>
        <w:color w:val="555555"/>
        <w:sz w:val="18"/>
      </w:rPr>
      <w:tab/>
      <w:t>Darren Schulz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