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 Unicode MS" w:hAnsi="Arial Unicode MS" w:eastAsia="Arial Unicode MS"/>
          <w:b/>
          <w:sz w:val="32"/>
        </w:rPr>
        <w:t>本周工作汇报：服饰细粒度视觉模块（3.1.2 Gated Hybrid 验证）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 w:val="0"/>
          <w:color w:val="5A5A5A"/>
          <w:sz w:val="21"/>
        </w:rPr>
        <w:t>汇报周期：第六周｜方向：多模态电商服饰细粒度视觉基础模块</w:t>
      </w:r>
    </w:p>
    <w:p>
      <w:pPr>
        <w:pStyle w:val="Heading1"/>
      </w:pPr>
      <w:r>
        <w:t>一、本周主要工作</w:t>
      </w:r>
    </w:p>
    <w:p>
      <w:pPr>
        <w:spacing w:after="60" w:line="259" w:lineRule="auto"/>
      </w:pPr>
      <w:r>
        <w:rPr>
          <w:rFonts w:ascii="Arial Unicode MS" w:hAnsi="Arial Unicode MS" w:eastAsia="Arial Unicode MS"/>
          <w:b w:val="0"/>
          <w:sz w:val="23"/>
        </w:rPr>
        <w:t>本周围绕 3.1.2「语言引导的局部区域定位」完成了从离线 baseline 到可复现 gated hybrid 的验证闭环。在前期人工 bbox benchmark 的基础上，继续比较 heuristic、GroundingDINO 和固定区域门控策略；同时补齐单图/批量推理、人工参考框可视化和 demo manifest 自动生成工具，使实验结果可以复现、检查和汇报。</w:t>
      </w:r>
    </w:p>
    <w:p>
      <w:pPr>
        <w:pStyle w:val="Heading1"/>
      </w:pPr>
      <w:r>
        <w:t>二、预训练 Grounding Baseline 与 Gated 策略</w:t>
      </w:r>
    </w:p>
    <w:p>
      <w:pPr>
        <w:spacing w:after="60" w:line="259" w:lineRule="auto"/>
      </w:pPr>
      <w:r>
        <w:rPr>
          <w:rFonts w:ascii="Arial Unicode MS" w:hAnsi="Arial Unicode MS" w:eastAsia="Arial Unicode MS"/>
          <w:b w:val="0"/>
          <w:sz w:val="23"/>
        </w:rPr>
        <w:t>在合并后的 171 条人工标注上，GroundingDINO-only 不能替代完整 pipeline，但它对视觉纹理类语义目标有明显优势。因此采用固定 gated 策略：pattern、pocket 路由到 GroundingDINO，其余结构区域仍使用 3.1.1 实例分割 + heuristic 局部定位。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648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方案</w:t>
            </w:r>
          </w:p>
        </w:tc>
        <w:tc>
          <w:tcPr>
            <w:tcW w:type="dxa" w:w="1656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评估规模</w:t>
            </w:r>
          </w:p>
        </w:tc>
        <w:tc>
          <w:tcPr>
            <w:tcW w:type="dxa" w:w="1656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avg bbox IoU</w:t>
            </w:r>
          </w:p>
        </w:tc>
        <w:tc>
          <w:tcPr>
            <w:tcW w:type="dxa" w:w="2232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Hit@0.3 / Hit@0.5</w:t>
            </w:r>
          </w:p>
        </w:tc>
        <w:tc>
          <w:tcPr>
            <w:tcW w:type="dxa" w:w="2376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结论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heuristic-only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171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0.2599</w:t>
            </w:r>
          </w:p>
        </w:tc>
        <w:tc>
          <w:tcPr>
            <w:tcW w:type="dxa" w:w="223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0.3918 / 0.2047</w:t>
            </w:r>
          </w:p>
        </w:tc>
        <w:tc>
          <w:tcPr>
            <w:tcW w:type="dxa" w:w="237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结构区域的 control baseline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GroundingDINO-only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171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0.2199</w:t>
            </w:r>
          </w:p>
        </w:tc>
        <w:tc>
          <w:tcPr>
            <w:tcW w:type="dxa" w:w="223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0.2456 / 0.1813</w:t>
            </w:r>
          </w:p>
        </w:tc>
        <w:tc>
          <w:tcPr>
            <w:tcW w:type="dxa" w:w="237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不能替代整条 pipeline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fixed gated hybrid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171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0.3060</w:t>
            </w:r>
          </w:p>
        </w:tc>
        <w:tc>
          <w:tcPr>
            <w:tcW w:type="dxa" w:w="223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0.4503 / 0.2749</w:t>
            </w:r>
          </w:p>
        </w:tc>
        <w:tc>
          <w:tcPr>
            <w:tcW w:type="dxa" w:w="237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当前最佳实验策略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648"/>
      </w:tblPr>
      <w:tblGrid>
        <w:gridCol w:w="2412"/>
        <w:gridCol w:w="2412"/>
        <w:gridCol w:w="2412"/>
        <w:gridCol w:w="2412"/>
      </w:tblGrid>
      <w:tr>
        <w:tc>
          <w:tcPr>
            <w:tcW w:type="dxa" w:w="1512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区域</w:t>
            </w:r>
          </w:p>
        </w:tc>
        <w:tc>
          <w:tcPr>
            <w:tcW w:type="dxa" w:w="2088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heuristic</w:t>
            </w:r>
          </w:p>
        </w:tc>
        <w:tc>
          <w:tcPr>
            <w:tcW w:type="dxa" w:w="2088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GroundingDINO</w:t>
            </w:r>
          </w:p>
        </w:tc>
        <w:tc>
          <w:tcPr>
            <w:tcW w:type="dxa" w:w="3960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本周判断</w:t>
            </w:r>
          </w:p>
        </w:tc>
      </w:tr>
      <w:tr>
        <w:tc>
          <w:tcPr>
            <w:tcW w:type="dxa" w:w="151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pattern</w:t>
            </w:r>
          </w:p>
        </w:tc>
        <w:tc>
          <w:tcPr>
            <w:tcW w:type="dxa" w:w="208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0.3080</w:t>
            </w:r>
          </w:p>
        </w:tc>
        <w:tc>
          <w:tcPr>
            <w:tcW w:type="dxa" w:w="208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0.6691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视觉纹理定位收益明确，保持 grounding 路由</w:t>
            </w:r>
          </w:p>
        </w:tc>
      </w:tr>
      <w:tr>
        <w:tc>
          <w:tcPr>
            <w:tcW w:type="dxa" w:w="151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pocket</w:t>
            </w:r>
          </w:p>
        </w:tc>
        <w:tc>
          <w:tcPr>
            <w:tcW w:type="dxa" w:w="208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0.0303</w:t>
            </w:r>
          </w:p>
        </w:tc>
        <w:tc>
          <w:tcPr>
            <w:tcW w:type="dxa" w:w="208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0.1024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虽仍困难，但 grounding 优于纯几何</w:t>
            </w:r>
          </w:p>
        </w:tc>
      </w:tr>
      <w:tr>
        <w:tc>
          <w:tcPr>
            <w:tcW w:type="dxa" w:w="151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zipper</w:t>
            </w:r>
          </w:p>
        </w:tc>
        <w:tc>
          <w:tcPr>
            <w:tcW w:type="dxa" w:w="208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接近持平</w:t>
            </w:r>
          </w:p>
        </w:tc>
        <w:tc>
          <w:tcPr>
            <w:tcW w:type="dxa" w:w="208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接近持平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暂不接入，保持 heuristic</w:t>
            </w:r>
          </w:p>
        </w:tc>
      </w:tr>
      <w:tr>
        <w:tc>
          <w:tcPr>
            <w:tcW w:type="dxa" w:w="151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结构区域</w:t>
            </w:r>
          </w:p>
        </w:tc>
        <w:tc>
          <w:tcPr>
            <w:tcW w:type="dxa" w:w="208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相对稳定</w:t>
            </w:r>
          </w:p>
        </w:tc>
        <w:tc>
          <w:tcPr>
            <w:tcW w:type="dxa" w:w="208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整体较弱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9"/>
              </w:rPr>
              <w:t>其它结构区域保持 heuristic</w:t>
            </w:r>
          </w:p>
        </w:tc>
      </w:tr>
    </w:tbl>
    <w:p>
      <w:pPr>
        <w:pStyle w:val="Heading1"/>
      </w:pPr>
      <w:r>
        <w:t>三、工程实现与定性验证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实现显式 gated inference/evaluator：默认 online path 不变，只有实验脚本才会调用 GroundingDINO，避免影响稳定 baseline。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新增 manifest 模式：每张图只运行存在且可见的 query，避免在无口袋图片上强行测试口袋，从而造成误导性可视化。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新增基于人工 benchmark 的 demo manifest 自动选择：按区域选择 IoU 达标的样本，输出保留 query、路由、选择 IoU 和人工参考框。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可视化中绿色 GT 为人工框、橙色为预测局部区域、蓝色为 heuristic 分支选择的服饰实例。pattern、neckline、hem、shoulder 的自动示例均完成核验。</w:t>
      </w:r>
    </w:p>
    <w:p>
      <w:pPr>
        <w:spacing w:after="60" w:line="259" w:lineRule="auto"/>
      </w:pPr>
      <w:r>
        <w:rPr>
          <w:rFonts w:ascii="Arial Unicode MS" w:hAnsi="Arial Unicode MS" w:eastAsia="Arial Unicode MS"/>
          <w:b w:val="0"/>
          <w:sz w:val="23"/>
        </w:rPr>
        <w:t>20 图查询测试中，60 条结构 query 走 heuristic、40 条语义 query 走 grounding，路由行为正确。Grounding 分支平均局部定位延迟约 82ms，高于 PRD 30ms 目标，因此当前仍定义为实验路径，而不是默认线上策略。</w:t>
      </w:r>
    </w:p>
    <w:p>
      <w:pPr>
        <w:pStyle w:val="Heading1"/>
        <w:pageBreakBefore/>
      </w:pPr>
      <w:r>
        <w:t>四、Confidence Fallback 验证</w:t>
      </w:r>
    </w:p>
    <w:p>
      <w:pPr>
        <w:spacing w:after="60" w:line="259" w:lineRule="auto"/>
      </w:pPr>
      <w:r>
        <w:rPr>
          <w:rFonts w:ascii="Arial Unicode MS" w:hAnsi="Arial Unicode MS" w:eastAsia="Arial Unicode MS"/>
          <w:b w:val="0"/>
          <w:sz w:val="23"/>
        </w:rPr>
        <w:t>为避免低置信度 GroundingDINO 检测拖累结果，本周新增离线 confidence fallback 分析器。它复用已完成的 gated 和 heuristic评估 JSON，不重新运行模型；按图像划分 131 条 calibration 和 40 条 holdout，避免同一服饰图片同时参与选阈值和验阈值。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648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656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阈值</w:t>
            </w:r>
          </w:p>
        </w:tc>
        <w:tc>
          <w:tcPr>
            <w:tcW w:type="dxa" w:w="1728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Calibration 语义 IoU</w:t>
            </w:r>
          </w:p>
        </w:tc>
        <w:tc>
          <w:tcPr>
            <w:tcW w:type="dxa" w:w="1872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Grounding / fallback</w:t>
            </w:r>
          </w:p>
        </w:tc>
        <w:tc>
          <w:tcPr>
            <w:tcW w:type="dxa" w:w="2016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Holdout 语义 IoU</w:t>
            </w:r>
          </w:p>
        </w:tc>
        <w:tc>
          <w:tcPr>
            <w:tcW w:type="dxa" w:w="2376"/>
            <w:shd w:fill="F2F4F7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判断</w:t>
            </w:r>
          </w:p>
        </w:tc>
      </w:tr>
      <w:tr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0.3068</w:t>
            </w:r>
          </w:p>
        </w:tc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27 / 0</w:t>
            </w:r>
          </w:p>
        </w:tc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0.3963</w:t>
            </w:r>
          </w:p>
        </w:tc>
        <w:tc>
          <w:tcPr>
            <w:tcW w:type="dxa" w:w="237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当前固定 gate，校准集最优</w:t>
            </w:r>
          </w:p>
        </w:tc>
      </w:tr>
      <w:tr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0.2441</w:t>
            </w:r>
          </w:p>
        </w:tc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19 / 8</w:t>
            </w:r>
          </w:p>
        </w:tc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0.3963</w:t>
            </w:r>
          </w:p>
        </w:tc>
        <w:tc>
          <w:tcPr>
            <w:tcW w:type="dxa" w:w="237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回退后 calibration 明显下降</w:t>
            </w:r>
          </w:p>
        </w:tc>
      </w:tr>
      <w:tr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0.30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0.2442</w:t>
            </w:r>
          </w:p>
        </w:tc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 / 12</w:t>
            </w:r>
          </w:p>
        </w:tc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0.4035</w:t>
            </w:r>
          </w:p>
        </w:tc>
        <w:tc>
          <w:tcPr>
            <w:tcW w:type="dxa" w:w="2376"/>
          </w:tcPr>
          <w:p>
            <w:pPr>
              <w:spacing w:before="0" w:after="2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holdout 微升，但样本小且 calibration 变差</w:t>
            </w:r>
          </w:p>
        </w:tc>
      </w:tr>
    </w:tbl>
    <w:p>
      <w:pPr>
        <w:spacing w:after="60" w:line="259" w:lineRule="auto"/>
      </w:pPr>
      <w:r>
        <w:rPr>
          <w:rFonts w:ascii="Arial Unicode MS" w:hAnsi="Arial Unicode MS" w:eastAsia="Arial Unicode MS"/>
          <w:b w:val="0"/>
          <w:sz w:val="23"/>
        </w:rPr>
        <w:t>结论：阈值 0.0 在 calibration 上最优。虽然阈值 0.30 在 14 条 holdout 语义样本上有 0.0072 的微小 IoU 上升，但其 calibration 显著下降，且样本量太小，不能作为策略更新依据。当前 GroundingDINO score 不能可靠判断何时应回退到 heuristic。</w:t>
      </w:r>
    </w:p>
    <w:p>
      <w:pPr>
        <w:pStyle w:val="Heading1"/>
      </w:pPr>
      <w:r>
        <w:t>五、当前结论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171 条人工 bbox benchmark 是当前 3.1.2 的主评估依据；pseudo-label 和 weak ranker 仅保留为历史实验与诊断工具。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当前最佳实验结果为 fixed gated hybrid：avg bbox IoU 0.3060，优于 heuristic-only 的 0.2599。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默认在线路径继续保持 heuristic-only；pattern/pocket -&gt; GroundingDINO 只通过显式实验入口启用。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confidence fallback 没有被采纳，避免把 14 条 holdout 上的微小波动误判为真实模型提升。</w:t>
      </w:r>
    </w:p>
    <w:p>
      <w:pPr>
        <w:pStyle w:val="Heading1"/>
      </w:pPr>
      <w:r>
        <w:t>六、下周计划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针对 cuff、pocket 的低 IoU 样本做按区域 failure review，区分服饰缺失、遮挡、左右语义和小目标定位失败。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继续优化 semantic prompt 与 side-aware 视觉定位；对 zipper、decoration 等目标先做离线比较，不直接修改默认路径。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若后续尝试 DINOv2/CLIP 区域特征或更强 grounding 模型，仍以人工 benchmark 和 image-held-out 验证为准。</w:t>
      </w:r>
    </w:p>
    <w:p>
      <w:pPr>
        <w:pStyle w:val="ListBullet"/>
        <w:spacing w:after="40" w:line="252" w:lineRule="auto"/>
        <w:ind w:left="360" w:hanging="173"/>
      </w:pPr>
      <w:r>
        <w:rPr>
          <w:rFonts w:ascii="Arial Unicode MS" w:hAnsi="Arial Unicode MS" w:eastAsia="Arial Unicode MS"/>
          <w:b w:val="0"/>
          <w:sz w:val="22"/>
        </w:rPr>
        <w:t>只有同时满足人工 IoU 改善和延迟可接受，才考虑把实验分支提升为可选线上 backend。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Arial Unicode MS" w:hAnsi="Arial Unicode MS" w:eastAsia="Arial Unicode M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