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5"/>
        <w:jc w:val="center"/>
      </w:pPr>
    </w:p>
    <w:p w14:paraId="00000002">
      <w:pPr>
        <w:pStyle w:val="15"/>
        <w:jc w:val="center"/>
      </w:pPr>
    </w:p>
    <w:p w14:paraId="00000003">
      <w:pPr>
        <w:pStyle w:val="15"/>
        <w:jc w:val="center"/>
      </w:pPr>
    </w:p>
    <w:p w14:paraId="00000004">
      <w:pPr>
        <w:pStyle w:val="15"/>
        <w:jc w:val="center"/>
      </w:pPr>
    </w:p>
    <w:p w14:paraId="00000005">
      <w:pPr>
        <w:pStyle w:val="15"/>
        <w:jc w:val="center"/>
      </w:pPr>
    </w:p>
    <w:p w14:paraId="00000006">
      <w:pPr>
        <w:pStyle w:val="15"/>
        <w:jc w:val="center"/>
      </w:pPr>
    </w:p>
    <w:p w14:paraId="00000007">
      <w:pPr>
        <w:pStyle w:val="15"/>
        <w:jc w:val="center"/>
      </w:pPr>
    </w:p>
    <w:p w14:paraId="4E3A9EBB">
      <w:pPr>
        <w:spacing w:before="240" w:after="240"/>
        <w:jc w:val="center"/>
        <w:rPr>
          <w:b/>
          <w:bCs/>
          <w:sz w:val="32"/>
          <w:szCs w:val="32"/>
          <w:rtl w:val="0"/>
        </w:rPr>
      </w:pPr>
    </w:p>
    <w:p w14:paraId="737E352D">
      <w:pPr>
        <w:spacing w:before="240" w:after="240"/>
        <w:jc w:val="center"/>
        <w:rPr>
          <w:b/>
          <w:bCs/>
          <w:sz w:val="32"/>
          <w:szCs w:val="32"/>
          <w:rtl w:val="0"/>
        </w:rPr>
      </w:pPr>
    </w:p>
    <w:p w14:paraId="00000008">
      <w:pPr>
        <w:spacing w:before="240" w:after="240"/>
        <w:jc w:val="center"/>
        <w:rPr>
          <w:b/>
          <w:bCs/>
          <w:sz w:val="32"/>
          <w:szCs w:val="32"/>
        </w:rPr>
      </w:pPr>
      <w:r>
        <w:rPr>
          <w:b/>
          <w:bCs/>
          <w:sz w:val="32"/>
          <w:szCs w:val="32"/>
          <w:rtl w:val="0"/>
        </w:rPr>
        <w:t>NICARAGUA V. GERMANY: AN ASSESSMENT OF THE PRELIMINARY OBJECTIONS ON JURISDICTION AND ADMISSIBILITY</w:t>
      </w:r>
    </w:p>
    <w:p w14:paraId="00000009">
      <w:pPr>
        <w:jc w:val="center"/>
      </w:pPr>
    </w:p>
    <w:p w14:paraId="0000000A">
      <w:pPr>
        <w:jc w:val="center"/>
      </w:pPr>
    </w:p>
    <w:p w14:paraId="0000000B">
      <w:pPr>
        <w:pStyle w:val="2"/>
      </w:pPr>
      <w:r>
        <w:br w:type="page"/>
      </w:r>
    </w:p>
    <w:sdt>
      <w:sdtPr>
        <w:id w:val="1916492165"/>
        <w:docPartObj>
          <w:docPartGallery w:val="Table of Contents"/>
          <w:docPartUnique/>
        </w:docPartObj>
      </w:sdtPr>
      <w:sdtContent>
        <w:p w14:paraId="0000000C">
          <w:pPr>
            <w:widowControl w:val="0"/>
            <w:tabs>
              <w:tab w:val="right" w:leader="dot" w:pos="9360"/>
            </w:tabs>
            <w:spacing w:before="60" w:after="0" w:line="240" w:lineRule="auto"/>
            <w:jc w:val="center"/>
            <w:rPr>
              <w:b/>
              <w:bCs/>
            </w:rPr>
          </w:pPr>
          <w:r>
            <w:fldChar w:fldCharType="begin"/>
          </w:r>
          <w:r>
            <w:instrText xml:space="preserve"> TOC \h \u \z \t "Heading 1,1,Heading 2,2,Heading 3,3,Heading 4,4,Heading 5,5,Heading 6,6,"</w:instrText>
          </w:r>
          <w:r>
            <w:fldChar w:fldCharType="separate"/>
          </w:r>
          <w:r>
            <w:rPr>
              <w:b/>
              <w:bCs/>
              <w:rtl w:val="0"/>
            </w:rPr>
            <w:t>Table of Contents</w:t>
          </w:r>
        </w:p>
        <w:p w14:paraId="0000000D">
          <w:pPr>
            <w:widowControl w:val="0"/>
            <w:tabs>
              <w:tab w:val="right" w:leader="dot" w:pos="9360"/>
            </w:tabs>
            <w:spacing w:before="60" w:after="0" w:line="240" w:lineRule="auto"/>
            <w:jc w:val="left"/>
          </w:pPr>
        </w:p>
        <w:p w14:paraId="0000000E">
          <w:pPr>
            <w:widowControl w:val="0"/>
            <w:tabs>
              <w:tab w:val="right" w:leader="dot" w:pos="9360"/>
            </w:tabs>
            <w:spacing w:before="60" w:after="0" w:line="240" w:lineRule="auto"/>
            <w:jc w:val="left"/>
            <w:rPr>
              <w:rFonts w:hint="default" w:ascii="Times New Roman" w:hAnsi="Times New Roman" w:cs="Times New Roman"/>
              <w:b w:val="0"/>
              <w:bCs w:val="0"/>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1. Introduction</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3</w:t>
          </w:r>
          <w:r>
            <w:rPr>
              <w:rFonts w:hint="default" w:ascii="Times New Roman" w:hAnsi="Times New Roman" w:cs="Times New Roman"/>
              <w:b w:val="0"/>
              <w:bCs w:val="0"/>
            </w:rPr>
            <w:fldChar w:fldCharType="end"/>
          </w:r>
        </w:p>
        <w:p w14:paraId="0000000F">
          <w:pPr>
            <w:widowControl w:val="0"/>
            <w:tabs>
              <w:tab w:val="right" w:leader="dot" w:pos="9360"/>
            </w:tabs>
            <w:spacing w:before="60" w:after="0" w:line="240" w:lineRule="auto"/>
            <w:jc w:val="left"/>
            <w:rPr>
              <w:rFonts w:hint="default" w:ascii="Times New Roman" w:hAnsi="Times New Roman" w:cs="Times New Roman"/>
              <w:b w:val="0"/>
              <w:bCs w:val="0"/>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2. Modification of Nicaragua's Claims</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3</w:t>
          </w:r>
          <w:r>
            <w:rPr>
              <w:rFonts w:hint="default" w:ascii="Times New Roman" w:hAnsi="Times New Roman" w:cs="Times New Roman"/>
              <w:b w:val="0"/>
              <w:bCs w:val="0"/>
            </w:rPr>
            <w:fldChar w:fldCharType="end"/>
          </w:r>
        </w:p>
        <w:p w14:paraId="00000010">
          <w:pPr>
            <w:widowControl w:val="0"/>
            <w:tabs>
              <w:tab w:val="right" w:leader="dot" w:pos="9360"/>
            </w:tabs>
            <w:spacing w:before="60" w:after="0" w:line="240" w:lineRule="auto"/>
            <w:jc w:val="left"/>
            <w:rPr>
              <w:rFonts w:hint="default" w:ascii="Times New Roman" w:hAnsi="Times New Roman" w:cs="Times New Roman"/>
              <w:b w:val="0"/>
              <w:bCs w:val="0"/>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3. First Preliminary Objection</w:t>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w:t>
          </w:r>
          <w:r>
            <w:rPr>
              <w:rFonts w:hint="default" w:ascii="Times New Roman" w:hAnsi="Times New Roman" w:cs="Times New Roman"/>
              <w:b w:val="0"/>
              <w:bCs w:val="0"/>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 xml:space="preserve"> No Dispute at the Critical Date</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5</w:t>
          </w:r>
          <w:r>
            <w:rPr>
              <w:rFonts w:hint="default" w:ascii="Times New Roman" w:hAnsi="Times New Roman" w:cs="Times New Roman"/>
              <w:b w:val="0"/>
              <w:bCs w:val="0"/>
            </w:rPr>
            <w:fldChar w:fldCharType="end"/>
          </w:r>
        </w:p>
        <w:p w14:paraId="00000011">
          <w:pPr>
            <w:widowControl w:val="0"/>
            <w:tabs>
              <w:tab w:val="right" w:leader="dot" w:pos="9360"/>
            </w:tabs>
            <w:spacing w:before="60" w:after="0" w:line="240" w:lineRule="auto"/>
            <w:jc w:val="left"/>
            <w:rPr>
              <w:rFonts w:hint="default" w:ascii="Times New Roman" w:hAnsi="Times New Roman" w:cs="Times New Roman"/>
              <w:b w:val="0"/>
              <w:bCs w:val="0"/>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4. Second Preliminary Objection: Limits on Jurisdiction</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6</w:t>
          </w:r>
          <w:r>
            <w:rPr>
              <w:rFonts w:hint="default" w:ascii="Times New Roman" w:hAnsi="Times New Roman" w:cs="Times New Roman"/>
              <w:b w:val="0"/>
              <w:bCs w:val="0"/>
            </w:rPr>
            <w:fldChar w:fldCharType="end"/>
          </w:r>
        </w:p>
        <w:p w14:paraId="00000012">
          <w:pPr>
            <w:widowControl w:val="0"/>
            <w:tabs>
              <w:tab w:val="right" w:leader="dot" w:pos="9360"/>
            </w:tabs>
            <w:spacing w:before="60" w:after="0" w:line="240" w:lineRule="auto"/>
            <w:jc w:val="left"/>
            <w:rPr>
              <w:rFonts w:hint="default" w:ascii="Times New Roman" w:hAnsi="Times New Roman" w:cs="Times New Roman"/>
              <w:b w:val="0"/>
              <w:bCs w:val="0"/>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5. Third Preliminary Objection: Israel as an Indispensable Third Party</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7</w:t>
          </w:r>
          <w:r>
            <w:rPr>
              <w:rFonts w:hint="default" w:ascii="Times New Roman" w:hAnsi="Times New Roman" w:cs="Times New Roman"/>
              <w:b w:val="0"/>
              <w:bCs w:val="0"/>
            </w:rPr>
            <w:fldChar w:fldCharType="end"/>
          </w:r>
        </w:p>
        <w:p w14:paraId="00000013">
          <w:pPr>
            <w:widowControl w:val="0"/>
            <w:tabs>
              <w:tab w:val="right" w:leader="dot" w:pos="9360"/>
            </w:tabs>
            <w:spacing w:before="60" w:after="0" w:line="240" w:lineRule="auto"/>
            <w:jc w:val="left"/>
            <w:rPr>
              <w:b/>
              <w:bCs/>
              <w:color w:val="000000"/>
              <w:u w:val="none"/>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color w:val="000000"/>
              <w:u w:val="none"/>
              <w:rtl w:val="0"/>
            </w:rPr>
            <w:t>6. Conclusion</w:t>
          </w:r>
          <w:r>
            <w:rPr>
              <w:rFonts w:hint="default" w:ascii="Times New Roman" w:hAnsi="Times New Roman" w:cs="Times New Roman"/>
              <w:b w:val="0"/>
              <w:bCs w:val="0"/>
              <w:color w:val="000000"/>
              <w:u w:val="none"/>
              <w:rtl w:val="0"/>
            </w:rPr>
            <w:tab/>
          </w:r>
          <w:r>
            <w:rPr>
              <w:rFonts w:hint="default" w:ascii="Times New Roman" w:hAnsi="Times New Roman" w:cs="Times New Roman"/>
              <w:b w:val="0"/>
              <w:bCs w:val="0"/>
              <w:color w:val="000000"/>
              <w:u w:val="none"/>
              <w:rtl w:val="0"/>
            </w:rPr>
            <w:fldChar w:fldCharType="end"/>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tl w:val="0"/>
            </w:rPr>
            <w:t>9</w:t>
          </w:r>
          <w:r>
            <w:rPr>
              <w:rFonts w:hint="default" w:ascii="Times New Roman" w:hAnsi="Times New Roman" w:cs="Times New Roman"/>
              <w:b w:val="0"/>
              <w:bCs w:val="0"/>
            </w:rPr>
            <w:fldChar w:fldCharType="end"/>
          </w:r>
          <w:r>
            <w:fldChar w:fldCharType="end"/>
          </w:r>
        </w:p>
      </w:sdtContent>
    </w:sdt>
    <w:p w14:paraId="00000014">
      <w:pPr>
        <w:pStyle w:val="2"/>
      </w:pPr>
      <w:r>
        <w:br w:type="page"/>
      </w:r>
    </w:p>
    <w:p w14:paraId="00000015">
      <w:pPr>
        <w:pStyle w:val="2"/>
      </w:pPr>
      <w:r>
        <w:rPr>
          <w:rtl w:val="0"/>
        </w:rPr>
        <w:t>1. Introduction</w:t>
      </w:r>
    </w:p>
    <w:p w14:paraId="00000016">
      <w:r>
        <w:rPr>
          <w:rtl w:val="0"/>
        </w:rPr>
        <w:t>This report evaluates the potential outcomes of Germany's three preliminary objections regarding alleged breaches of Certain International Obligations in respect of the Occupied Palestinian Territory. It covers the evolution of Nicaragua's claims, the disputed jurisdiction and admissibility questions and what the Court would probably think. Nicaragua has expanded and substantiated its original case, particularly with respect to claims of “racial discrimination”, “non-recognition” and the entire Occupied Palestinian Territory. Germany objects that there was no controversy at seisin, that several claims are not covered by the titles available, that Israel is an indispensable third party who is absent.</w:t>
      </w:r>
      <w:r>
        <w:rPr>
          <w:rStyle w:val="11"/>
          <w:rtl w:val="0"/>
        </w:rPr>
        <w:footnoteReference w:id="0"/>
      </w:r>
      <w:r>
        <w:rPr>
          <w:rtl w:val="0"/>
        </w:rPr>
        <w:t xml:space="preserve"> Most convincing, the core genocide and the humanitarian-law dispute since October 2023 should live on, and parts of the expanded claims are susceptible to Germany's temporal reservation and CERD Article 22, and Monetary Gold ought to be applied claim-by-claim, not as a basis for rejecting the proceedings in their entirety. The Court has long ruled in favour of defining the object of each claim. It also demonstrates the difference between the primary obligations of Israel and the derived obligations which may only result from the establishment of an internationally wrongful act by Israel. Such distinction will be used as a basis for determining jurisdiction and admissibility.</w:t>
      </w:r>
    </w:p>
    <w:p w14:paraId="00000017">
      <w:pPr>
        <w:pStyle w:val="2"/>
      </w:pPr>
      <w:r>
        <w:rPr>
          <w:rtl w:val="0"/>
        </w:rPr>
        <w:t>2. Modification of Nicaragua's Claims</w:t>
      </w:r>
    </w:p>
    <w:p w14:paraId="00000018">
      <w:pPr>
        <w:rPr>
          <w:b/>
          <w:bCs/>
        </w:rPr>
      </w:pPr>
      <w:r>
        <w:rPr>
          <w:b/>
          <w:bCs/>
          <w:rtl w:val="0"/>
        </w:rPr>
        <w:t>Claims Presented in the Original Application</w:t>
      </w:r>
    </w:p>
    <w:p w14:paraId="00000019">
      <w:pPr>
        <w:jc w:val="both"/>
      </w:pPr>
      <w:r>
        <w:rPr>
          <w:rtl w:val="0"/>
        </w:rPr>
        <w:t>Nicaragua's Application focused on Germany's actions after 7 October 2023. It is alleged that political, financial and military aid to Israel, and the temporary withholding of funding to UNRWA, violated Germany's obligations to prevent genocide, not to be complicit, to ensure respect for international humanitarian law, to protect Palestinian self-determination and to prosecute grave international crimes. The relief sought likewise concentrated on halting assistance which was relevant to the plight, preventing repetition, and making reparation. Germany was thus declared to be the formally responsible State, with multiple legal bases being claimed, and some of the allegations made in a general statement.</w:t>
      </w:r>
      <w:r>
        <w:rPr>
          <w:rStyle w:val="11"/>
          <w:rtl w:val="0"/>
        </w:rPr>
        <w:footnoteReference w:id="1"/>
      </w:r>
    </w:p>
    <w:p w14:paraId="0000001A">
      <w:pPr>
        <w:jc w:val="both"/>
      </w:pPr>
      <w:r>
        <w:br w:type="page"/>
      </w:r>
    </w:p>
    <w:p w14:paraId="0000001B">
      <w:pPr>
        <w:jc w:val="both"/>
        <w:rPr>
          <w:b/>
          <w:bCs/>
        </w:rPr>
      </w:pPr>
      <w:r>
        <w:rPr>
          <w:b/>
          <w:bCs/>
          <w:rtl w:val="0"/>
        </w:rPr>
        <w:t>Expansion of Claims in the Memorial</w:t>
      </w:r>
    </w:p>
    <w:p w14:paraId="0000001C">
      <w:pPr>
        <w:jc w:val="both"/>
      </w:pPr>
      <w:r>
        <w:rPr>
          <w:rtl w:val="0"/>
        </w:rPr>
        <w:t>The Memorial turned that case into ten submissions. The first three relate to the Genocide Convention, non-observance of the duty to prevent genocide, complicity and prohibited assistance. Submissions #4-6 are on Common Article 1 under the Geneva Conventions and other duties under humanitarian law. Submission seven is about self-determination, submission eight is about non-recognition and non-assistance to an unlawful situation, submission nine is about assistance to racial discrimination, segregation and apartheid and submission ten is about prosecution. Germany's objections concern submissions one – nine. This is more specific than the Application, but also expands the scope of the dispute legally, geographically and timewise.</w:t>
      </w:r>
      <w:r>
        <w:rPr>
          <w:rStyle w:val="11"/>
          <w:rtl w:val="0"/>
        </w:rPr>
        <w:footnoteReference w:id="2"/>
      </w:r>
    </w:p>
    <w:p w14:paraId="0000001D">
      <w:pPr>
        <w:jc w:val="both"/>
      </w:pPr>
      <w:r>
        <w:rPr>
          <w:rtl w:val="0"/>
        </w:rPr>
        <w:t>There are three changes that are of a critical nature. With the introduction of Article 22 of the International Convention on the Elimination of All Forms of Racial Discrimination as a new jurisdictional title. Nicaragua took the first step by introducing Article 22 of the International Convention on the Elimination of All Forms of Racial Discrimination as a new jurisdictional title. Secondly, it broadened the factual context from the Gaza Strip following 7 October 2023 to Israel's actions throughout the OPT and included a historical narrative that predates 2008. Thirdly, racial discrimination, apartheid and Germany's obligation of non-recognition and non-assistance were independent submissions and not supporting considerations. Germany refers to them as new conflicts, Nicaragua sees them as necessary legal developments of the same grievance against the illegal actions of Israel supported by Germany.</w:t>
      </w:r>
    </w:p>
    <w:p w14:paraId="0000001E">
      <w:pPr>
        <w:jc w:val="both"/>
        <w:rPr>
          <w:b/>
          <w:bCs/>
        </w:rPr>
      </w:pPr>
      <w:r>
        <w:rPr>
          <w:b/>
          <w:bCs/>
          <w:rtl w:val="0"/>
        </w:rPr>
        <w:t>Development or Transformation of the Dispute</w:t>
      </w:r>
    </w:p>
    <w:p w14:paraId="0000001F">
      <w:pPr>
        <w:jc w:val="both"/>
      </w:pPr>
      <w:r>
        <w:rPr>
          <w:rtl w:val="0"/>
        </w:rPr>
        <w:t>The Court should make a distinction between the two, development and transformation should be distinguished by comparing the subject-matter of each of the submissions with the claim objectively communicated before seisin. Nicaragua can modify arguments and offer evidence later without altering the issue.</w:t>
      </w:r>
      <w:r>
        <w:rPr>
          <w:rStyle w:val="11"/>
          <w:rtl w:val="0"/>
        </w:rPr>
        <w:footnoteReference w:id="3"/>
      </w:r>
      <w:r>
        <w:rPr>
          <w:rtl w:val="0"/>
        </w:rPr>
        <w:t xml:space="preserve"> Subsequent pleadings cannot confer jurisdiction on a separate claim. A core humanitarian-law and an arms-transfer submission, as well as the genocide submission, all remain faithful to the original object—the role of continuing support in the face of knowledge of prohibited activity. In contrast, the jurisdiction based on CERD and the autonomous apartheid and non-recognition submissions are less connected to the communications of February 2024. Orally, Nicaragua also made it clear that its disagreement is with respect to Germany and the separate responsibilities of that nation, rather than with respect to Israel. The theory of adjudication is narrowed, but expressly included parts of the Memorial which assume that Israel has acted wrongly remain.</w:t>
      </w:r>
      <w:r>
        <w:rPr>
          <w:rStyle w:val="11"/>
          <w:rtl w:val="0"/>
        </w:rPr>
        <w:footnoteReference w:id="4"/>
      </w:r>
    </w:p>
    <w:p w14:paraId="00000020">
      <w:pPr>
        <w:pStyle w:val="2"/>
      </w:pPr>
      <w:r>
        <w:rPr>
          <w:rtl w:val="0"/>
        </w:rPr>
        <w:t>3. First Preliminary Objection No Dispute at the Critical Date</w:t>
      </w:r>
    </w:p>
    <w:p w14:paraId="00000021">
      <w:pPr>
        <w:jc w:val="both"/>
      </w:pPr>
      <w:r>
        <w:rPr>
          <w:rtl w:val="0"/>
        </w:rPr>
        <w:t>Germany's first objection is that there was no dispute on 1 March 2024. A dispute must be an 'objection' on a point of fact or law and the respondent must have known or could not have failed to know the applicant's position was 'opposed'. Germany emphasizes that the Note Verbale of Nicaragua of 2 February (forwarded on 1 February) brought together many accusations, did not specify which of the later submissions it referred to and granted only a month to reply. It does not consider a legal opposition to each claim to be a rejection of Nicaragua's public presentation, as it does in its press statement of 7 February. Allegedly, claims for apartheid, non-recognition and prosecution were missing or inadequately formulated. The answer to Nicaragua is much stronger - there is no requirement for formal negotiations or an itemised pre-litigation pleading. The Note Verbale was a reference to arms supplies, military support, UNRWA funding, the Genocide Convention, the Geneva Conventions, self-determination and Germany's alleged failure to prevent and/or facilitate violations. Germany has officially denied the claims, and also stated that it had acted according to international law. This made the legal positions of the parties opposed in fact. The Court does not create jurisdiction afterwards when filing but it may establish the nature and scope of the existing disagreement.</w:t>
      </w:r>
      <w:r>
        <w:rPr>
          <w:rStyle w:val="11"/>
          <w:rtl w:val="0"/>
        </w:rPr>
        <w:footnoteReference w:id="5"/>
      </w:r>
    </w:p>
    <w:p w14:paraId="00000022">
      <w:pPr>
        <w:jc w:val="both"/>
      </w:pPr>
      <w:r>
        <w:rPr>
          <w:rtl w:val="0"/>
        </w:rPr>
        <w:t>Marshall Islands needs consciousness of positive opposition and ensures that blanket multilateral condemnations are not immediately interpreted as bilateral conflicts. In the present instance, Nicaragua responded to a particular diplomatic message to the German Government and designated its actions. The Gambia v Myanmar also establishes that both the existence of a dispute and the denial thereof are a matter of substance and that a respondent's stance and conduct can imply that it denies the existence of a dispute. Germany's quick response is relevant evidence, but not a stand-alone requirement in the process of discussion according to Article IX of the Genocide Convention.</w:t>
      </w:r>
      <w:r>
        <w:rPr>
          <w:rStyle w:val="11"/>
          <w:rtl w:val="0"/>
        </w:rPr>
        <w:footnoteReference w:id="6"/>
      </w:r>
      <w:r>
        <w:rPr>
          <w:rtl w:val="0"/>
        </w:rPr>
        <w:t xml:space="preserve"> In respect of the first objection, the Court is likely to reject it, as it was enough that the pre-filing exchange sufficiently revealed conflicting views expressed on the issue of genocide and the issues of arms transfers and humanitarian law. The outcome may vary for submissions #7-9. It is not enough simply to mention self-determination to send a message of Germany's violation of a sovereign duty to leave an illegal condition in place. The apartheid, racial-discrimination and non-recognition formulations are even further away. The Court will recognise them as legal consequences in one dispute instead of as claims. It is possible to obtain a complete rejection, but a finding that there was no real dispute for a later formulation would be preferable to maintain the critical-date principle.</w:t>
      </w:r>
    </w:p>
    <w:p w14:paraId="00000023">
      <w:pPr>
        <w:pStyle w:val="2"/>
      </w:pPr>
      <w:r>
        <w:rPr>
          <w:rtl w:val="0"/>
        </w:rPr>
        <w:t>4. Second Preliminary Objection: Limits on Jurisdiction</w:t>
      </w:r>
    </w:p>
    <w:p w14:paraId="00000024">
      <w:pPr>
        <w:rPr>
          <w:b/>
          <w:bCs/>
        </w:rPr>
      </w:pPr>
      <w:r>
        <w:rPr>
          <w:b/>
          <w:bCs/>
          <w:rtl w:val="0"/>
        </w:rPr>
        <w:t>Article 22 of CERD</w:t>
      </w:r>
    </w:p>
    <w:p w14:paraId="00000025">
      <w:pPr>
        <w:jc w:val="both"/>
      </w:pPr>
      <w:r>
        <w:rPr>
          <w:rtl w:val="0"/>
        </w:rPr>
        <w:t>Germany's second objection discusses two separate constraints. The first relates to Article 22 of the CERD. This clause refers any dispute which cannot be resolved through negotiation or CERD processes to the Court. Germany states that Nicaragua did not try to negotiate in a CERD-specific way and did not use the CERD procedure. Nicaragua replies that the issues relating to racial discrimination are mainly based on customary international law, and are within the scope of the optional clause in the treaties. It says, on the other hand, that a protracted negotiation would have been fruitless and counter to the urgency of protecting Palestinians.</w:t>
      </w:r>
      <w:r>
        <w:rPr>
          <w:rStyle w:val="11"/>
          <w:rtl w:val="0"/>
        </w:rPr>
        <w:footnoteReference w:id="7"/>
      </w:r>
    </w:p>
    <w:p w14:paraId="00000026">
      <w:pPr>
        <w:jc w:val="both"/>
      </w:pPr>
      <w:r>
        <w:rPr>
          <w:rtl w:val="0"/>
        </w:rPr>
        <w:t>The other CERD route is at risk. The Court has defined negotiation as involving a "genuine discussion" of the treaty dispute, rather than either a "notice" or merely a "protest. The February communication to Nicaragua did not adequately define a CERD dispute or call for negotiations on Germany's duties under that Convention. An express precondition cannot be eliminated by a mere sense of urgency, especially in a merits case where provisional measures are still feasible. The Court is likely to sustain the objection about submission No. 9, which relies on Article 22. The customary-law procedure is only available if Nicaragua sets up an independent customary prohibition which is binding on Germany, and it cannot simply use the doctrine of alternative procedure to circumvent the treaty's procedural requirements</w:t>
      </w:r>
      <w:r>
        <w:rPr>
          <w:rFonts w:hint="default"/>
          <w:rtl w:val="0"/>
          <w:lang w:val="en-US"/>
        </w:rPr>
        <w:t>.</w:t>
      </w:r>
      <w:r>
        <w:rPr>
          <w:rStyle w:val="11"/>
          <w:rtl w:val="0"/>
        </w:rPr>
        <w:footnoteReference w:id="8"/>
      </w:r>
    </w:p>
    <w:p w14:paraId="00000027">
      <w:pPr>
        <w:jc w:val="both"/>
        <w:rPr>
          <w:b/>
          <w:bCs/>
        </w:rPr>
      </w:pPr>
      <w:r>
        <w:rPr>
          <w:b/>
          <w:bCs/>
          <w:rtl w:val="0"/>
        </w:rPr>
        <w:t>Germany's Optional Clause Reservation</w:t>
      </w:r>
    </w:p>
    <w:p w14:paraId="00000028">
      <w:pPr>
        <w:jc w:val="both"/>
      </w:pPr>
      <w:r>
        <w:rPr>
          <w:rtl w:val="0"/>
        </w:rPr>
        <w:t>The second limitation is contained in Germany's optional-clause reservation, which excludes disputes arising from situations or facts that have occurred prior to 30 April 2008. Germany contends that the cases of submissions 4–9 rely on the occupation, settlements, purported apartheid system and international actions that took place or were undertaken over decades. Nicaragua replies that history can identify the context and source of protected rights, but not the present German licences, assistance, diplomatic action and inaction. The question is, is there any earlier facts in the evidential narrative? No, the question is what is the actual cause or source of the dispute?</w:t>
      </w:r>
    </w:p>
    <w:p w14:paraId="00000029">
      <w:pPr>
        <w:jc w:val="both"/>
      </w:pPr>
      <w:r>
        <w:rPr>
          <w:rtl w:val="0"/>
        </w:rPr>
        <w:t>Germany's is too broad in scope since it would make any modern obligation arising from a long-lasting situation traceable to the historical event itself. Arms approvals and decisions to continue specific forms of support can be legally independent, following 2008. They are not just the result of a continuous German act before 2008. Similarly, a present duty not to recognise or assist an unlawful situation applies, even though the situation itself has occurred in the past. However, Nicaragua is not able to use a recent German decision as an artificial trigger where adjudication would inevitably have to set the guilt over the establishment or continuation of a pre-2008 regime.</w:t>
      </w:r>
      <w:r>
        <w:rPr>
          <w:rStyle w:val="11"/>
          <w:rtl w:val="0"/>
        </w:rPr>
        <w:footnoteReference w:id="9"/>
      </w:r>
    </w:p>
    <w:p w14:paraId="0000002A">
      <w:pPr>
        <w:jc w:val="both"/>
        <w:rPr>
          <w:b/>
          <w:bCs/>
        </w:rPr>
      </w:pPr>
      <w:r>
        <w:rPr>
          <w:b/>
          <w:bCs/>
          <w:rtl w:val="0"/>
        </w:rPr>
        <w:t>Likely Decision of the Court</w:t>
      </w:r>
    </w:p>
    <w:p w14:paraId="0000002B">
      <w:pPr>
        <w:jc w:val="both"/>
      </w:pPr>
      <w:r>
        <w:rPr>
          <w:rtl w:val="0"/>
        </w:rPr>
        <w:t>The Court should uphold this limb on the basis that it is limited. Possible submissions that are based on individual German conduct after October 2023 are in the optional clause. Where the pre-2008 situation is the without-which reality and not the background, historically framed aspects of self-determination, non-recognition and racial discrimination may be excluded. Such differentiation is consistent with the purpose of the reservation, but does not turn it into immunity from any breach that is linked with an old conflict. The second objection should eliminate the CERD treaty route and (perhaps) limit submissions seven to nine, but should not eliminate the post-2023 Genocide and humanitarian-law case.</w:t>
      </w:r>
      <w:r>
        <w:rPr>
          <w:rStyle w:val="11"/>
          <w:rtl w:val="0"/>
        </w:rPr>
        <w:footnoteReference w:id="10"/>
      </w:r>
    </w:p>
    <w:p w14:paraId="0000002C">
      <w:pPr>
        <w:pStyle w:val="2"/>
      </w:pPr>
      <w:r>
        <w:rPr>
          <w:rtl w:val="0"/>
        </w:rPr>
        <w:t>5. Third Preliminary Objection: Israel as an Indispensable Third Party</w:t>
      </w:r>
    </w:p>
    <w:p w14:paraId="0000002D">
      <w:pPr>
        <w:keepNext w:val="0"/>
        <w:keepLines w:val="0"/>
        <w:spacing w:before="360" w:after="80"/>
        <w:rPr>
          <w:b/>
          <w:bCs/>
        </w:rPr>
      </w:pPr>
      <w:r>
        <w:rPr>
          <w:b/>
          <w:bCs/>
          <w:rtl w:val="0"/>
        </w:rPr>
        <w:t>The Monetary Gold Principle</w:t>
      </w:r>
    </w:p>
    <w:p w14:paraId="0000002E">
      <w:pPr>
        <w:spacing w:before="240" w:after="240"/>
        <w:rPr>
          <w:sz w:val="23"/>
          <w:szCs w:val="23"/>
        </w:rPr>
      </w:pPr>
      <w:r>
        <w:rPr>
          <w:sz w:val="23"/>
          <w:szCs w:val="23"/>
          <w:rtl w:val="0"/>
        </w:rPr>
        <w:t>Germany's 3rd objection is based on the Monetary Gold principle. The Court has no jurisdiction to exercise jurisdiction if determining the legal responsibility of an absent State would be a condition precedent to exercising jurisdiction over the claims before it. Germany is saying that Nicaragua's claims must first be met with the Court establishing that there was a genocide, a violation of international humanitarian law, that Palestinian people never had the right to self-determination or that Israel had an apartheid policy against the Palestinians. Israel has not been involved in and does not consent to such proceedings.</w:t>
      </w:r>
    </w:p>
    <w:p w14:paraId="0000002F">
      <w:r>
        <w:rPr>
          <w:rtl w:val="0"/>
        </w:rPr>
        <w:t>The question of Albania's responsibility was first to be answered before the possibility of the solution of Italy's claim could be discussed, thus, Albania's legal interests were the subject-matter of the case The Court used the same argument in East Timor, in which Indonesia's "allegedly unlawful" actions were deemed to be preconditions for determining Australia's responsibility.</w:t>
      </w:r>
      <w:r>
        <w:rPr>
          <w:rStyle w:val="11"/>
          <w:rtl w:val="0"/>
        </w:rPr>
        <w:footnoteReference w:id="11"/>
      </w:r>
      <w:r>
        <w:rPr>
          <w:rtl w:val="0"/>
        </w:rPr>
        <w:t xml:space="preserve"> But the doctrine only applies because a judgement may impact on the interests of a third State, or may call into question its conduct. The question of legal responsibility is a logical prerequisite or a possible implication of Germany's responsibility.</w:t>
      </w:r>
    </w:p>
    <w:p w14:paraId="00000030">
      <w:pPr>
        <w:keepNext w:val="0"/>
        <w:keepLines w:val="0"/>
        <w:spacing w:before="360" w:after="80"/>
        <w:rPr>
          <w:b/>
          <w:bCs/>
        </w:rPr>
      </w:pPr>
      <w:r>
        <w:rPr>
          <w:b/>
          <w:bCs/>
          <w:rtl w:val="0"/>
        </w:rPr>
        <w:t>Application to Nicaragua’s Claims</w:t>
      </w:r>
    </w:p>
    <w:p w14:paraId="00000031">
      <w:pPr>
        <w:spacing w:before="240" w:after="240"/>
      </w:pPr>
      <w:r>
        <w:rPr>
          <w:rtl w:val="0"/>
        </w:rPr>
        <w:t>Germany has an independent (due diligence) obligation under Article I of the Genocide Convention to prevent a genocide. It requires the ability of Germany to affect the alleged perpetrators, as well as its knowledge that there is a real danger of genocide. Responsibility for failure to prevent is only triggered with a finding of genocide, but the Court was able to establish the violations of conduct and intent of Israeli officials without an operative finding against Israel as a State. The preventive obligation could also apply to individuals who are not under the respondent State's control</w:t>
      </w:r>
      <w:r>
        <w:rPr>
          <w:rFonts w:hint="default"/>
          <w:rtl w:val="0"/>
          <w:lang w:val="en-US"/>
        </w:rPr>
        <w:t>.</w:t>
      </w:r>
      <w:r>
        <w:rPr>
          <w:rStyle w:val="11"/>
          <w:rFonts w:hint="default"/>
          <w:rtl w:val="0"/>
          <w:lang w:val="en-US"/>
        </w:rPr>
        <w:footnoteReference w:id="12"/>
      </w:r>
      <w:r>
        <w:rPr>
          <w:rtl w:val="0"/>
        </w:rPr>
        <w:t xml:space="preserve"> Complicity and aid or assistance need to be distinguished. German officials can be held liable for complicity under Article III(e) if they knowingly facilitated the genocide of people by others. Israel's State responsibility would not have to be an essential criterion for that determination. A claim under Article 16 of the Articles on State Responsibility does, on the other hand, necessitate an internationally wrongful act of the assisted State. The Court was unable to hold Germany liable to assist Israel until it had determined Israel's culpability.</w:t>
      </w:r>
      <w:r>
        <w:rPr>
          <w:rStyle w:val="11"/>
          <w:rtl w:val="0"/>
        </w:rPr>
        <w:footnoteReference w:id="13"/>
      </w:r>
    </w:p>
    <w:p w14:paraId="00000032">
      <w:pPr>
        <w:spacing w:before="240" w:after="240"/>
      </w:pPr>
      <w:r>
        <w:rPr>
          <w:rtl w:val="0"/>
        </w:rPr>
        <w:t>The same concept is applicable to Common Article 1 of the Geneva Conventions. Germany's responsibility for respect might be judged in its knowledge, influence and choices regarding military assistance. Claims that are clearly based on Israel's internationally wrongful acts are more dependent on the previous finding against Israel. The Court's 2024 advisory opinion, which found Israel's continued presence in the OPT to be unlawful and imposed some obligations on third States, bolsters Nicaragua's self-determination and non-recognition claims. However, that opinion was not decisive in respect of Israel's actions in Gaza in the wake of 7 October 2023, or in regard to all the elements of genocide and apartheid-based charges against it.</w:t>
      </w:r>
    </w:p>
    <w:p w14:paraId="00000033">
      <w:pPr>
        <w:keepNext w:val="0"/>
        <w:keepLines w:val="0"/>
        <w:spacing w:before="360" w:after="80"/>
        <w:rPr>
          <w:b/>
          <w:bCs/>
        </w:rPr>
      </w:pPr>
      <w:r>
        <w:rPr>
          <w:b/>
          <w:bCs/>
          <w:rtl w:val="0"/>
        </w:rPr>
        <w:t>Likely Decision</w:t>
      </w:r>
    </w:p>
    <w:p w14:paraId="00000034">
      <w:pPr>
        <w:spacing w:before="240" w:after="240"/>
      </w:pPr>
      <w:r>
        <w:rPr>
          <w:rtl w:val="0"/>
        </w:rPr>
        <w:t>Germany should be denied the blanket bar of Monetary Gold. The claim that the German state had independent obligations with regard to the prevention of genocide, the respect of humanitarian law, the control of arms export and the avoidance of recognition of an illegal situation may be considered separately. But when claims are based on proof that Germany was involved in an internationally wrongful act by Israel, then it is a real problem of the presence of the inexistent party. The Court can either sustain the objection for such derivative formulations, or deem them non-exclusively preliminary and reserve them for the merits. It would respect Israel's right not to have its responsibility assessed without its consent and it would ensure that the doctrine did not serve as a cover for Germany's "independently attributable conduct".</w:t>
      </w:r>
      <w:r>
        <w:rPr>
          <w:rStyle w:val="11"/>
          <w:rtl w:val="0"/>
        </w:rPr>
        <w:footnoteReference w:id="14"/>
      </w:r>
    </w:p>
    <w:p w14:paraId="00000035">
      <w:pPr>
        <w:pStyle w:val="2"/>
      </w:pPr>
      <w:r>
        <w:rPr>
          <w:rtl w:val="0"/>
        </w:rPr>
        <w:t>6. Conclusion</w:t>
      </w:r>
    </w:p>
    <w:p w14:paraId="00000036">
      <w:pPr>
        <w:jc w:val="both"/>
      </w:pPr>
      <w:r>
        <w:rPr>
          <w:rtl w:val="0"/>
        </w:rPr>
        <w:t>Nicaragua's case was extended with CERD, apartheid, non-recognition and a timeline. Nicaragua's genocide case and arms case were expanded through CERD, apartheid, non-recognition and the length of the historical period. The first objection by Germany should fail because the dispute is clearly presented as a core dispute, but if there are truly new Memorial claims, then the first objection is still valid. Its second objection will be valid for pre-CERD conditions, and might be invalidated by the 2008 reservation, but will not affect autonomous conduct after 2023, so long as the conditions for such conduct are not satisfied. Monetary Gold shouldn't close the case, Germany's independent responsibilities can be assessed without assessing Israel's State responsibility. But claims for derivative aid-or-assistance may be excluded or postponed since Israel's wrongful act is the logical prerequisite for such a claim. The Court is likely to limit, but not strike down, Nicaragua's case.</w:t>
      </w:r>
    </w:p>
    <w:p w14:paraId="00000037">
      <w:pPr>
        <w:pStyle w:val="2"/>
      </w:pPr>
      <w:r>
        <w:br w:type="page"/>
      </w:r>
    </w:p>
    <w:p w14:paraId="00000038">
      <w:pPr>
        <w:pStyle w:val="2"/>
        <w:rPr>
          <w:rFonts w:hint="default"/>
          <w:lang w:val="en-US"/>
        </w:rPr>
      </w:pPr>
      <w:bookmarkStart w:id="0" w:name="_r2waubhmkimw" w:colFirst="0" w:colLast="0"/>
      <w:bookmarkEnd w:id="0"/>
      <w:r>
        <w:rPr>
          <w:rtl w:val="0"/>
        </w:rPr>
        <w:t>Reference</w:t>
      </w:r>
      <w:r>
        <w:rPr>
          <w:rFonts w:hint="default"/>
          <w:rtl w:val="0"/>
          <w:lang w:val="en-US"/>
        </w:rPr>
        <w:t>s</w:t>
      </w:r>
      <w:bookmarkStart w:id="1" w:name="_GoBack"/>
      <w:bookmarkEnd w:id="1"/>
    </w:p>
    <w:p w14:paraId="00000039">
      <w:pPr>
        <w:spacing w:before="240" w:after="240"/>
        <w:rPr>
          <w:color w:val="1155CC"/>
          <w:u w:val="single"/>
        </w:rPr>
      </w:pPr>
      <w:r>
        <w:rPr>
          <w:rtl w:val="0"/>
        </w:rPr>
        <w:t>Haque, A.A., 2025. Nicaragua v. Germany: Why Israel is not an indispensable third party. Just Security, 20 November. Available at:</w:t>
      </w:r>
      <w:r>
        <w:rPr>
          <w:rtl w:val="0"/>
        </w:rPr>
        <w:br w:type="textWrapping"/>
      </w:r>
      <w:r>
        <w:fldChar w:fldCharType="begin"/>
      </w:r>
      <w:r>
        <w:instrText xml:space="preserve"> HYPERLINK "https://www.justsecurity.org/124907/nicaragua-germany-israel-indispensable/" \h </w:instrText>
      </w:r>
      <w:r>
        <w:fldChar w:fldCharType="separate"/>
      </w:r>
      <w:r>
        <w:rPr>
          <w:color w:val="1155CC"/>
          <w:u w:val="single"/>
          <w:rtl w:val="0"/>
        </w:rPr>
        <w:t>https://www.justsecurity.org/124907/nicaragua-germany-israel-indispensable/</w:t>
      </w:r>
      <w:r>
        <w:rPr>
          <w:color w:val="1155CC"/>
          <w:u w:val="single"/>
          <w:rtl w:val="0"/>
        </w:rPr>
        <w:fldChar w:fldCharType="end"/>
      </w:r>
    </w:p>
    <w:p w14:paraId="0000003A">
      <w:pPr>
        <w:spacing w:before="240" w:after="240"/>
        <w:rPr>
          <w:color w:val="1155CC"/>
          <w:u w:val="single"/>
        </w:rPr>
      </w:pPr>
      <w:r>
        <w:rPr>
          <w:rtl w:val="0"/>
        </w:rPr>
        <w:t>International Court of Justice, 1954. Monetary Gold Removed from Rome in 1943 (Italy v. France, United Kingdom and United States of America), Preliminary Question, Judgment. I.C.J. Reports 1954, p. 19. Available at:</w:t>
      </w:r>
      <w:r>
        <w:rPr>
          <w:rtl w:val="0"/>
        </w:rPr>
        <w:br w:type="textWrapping"/>
      </w:r>
      <w:r>
        <w:fldChar w:fldCharType="begin"/>
      </w:r>
      <w:r>
        <w:instrText xml:space="preserve"> HYPERLINK "https://www.icj-cij.org/case/19/judgments" \h </w:instrText>
      </w:r>
      <w:r>
        <w:fldChar w:fldCharType="separate"/>
      </w:r>
      <w:r>
        <w:rPr>
          <w:color w:val="1155CC"/>
          <w:u w:val="single"/>
          <w:rtl w:val="0"/>
        </w:rPr>
        <w:t>https://www.icj-cij.org/case/19/judgments</w:t>
      </w:r>
      <w:r>
        <w:rPr>
          <w:color w:val="1155CC"/>
          <w:u w:val="single"/>
          <w:rtl w:val="0"/>
        </w:rPr>
        <w:fldChar w:fldCharType="end"/>
      </w:r>
    </w:p>
    <w:p w14:paraId="0000003B">
      <w:pPr>
        <w:spacing w:before="240" w:after="240"/>
        <w:rPr>
          <w:color w:val="1155CC"/>
          <w:u w:val="single"/>
        </w:rPr>
      </w:pPr>
      <w:r>
        <w:rPr>
          <w:rtl w:val="0"/>
        </w:rPr>
        <w:t>International Court of Justice, 2007. Application of the Convention on the Prevention and Punishment of the Crime of Genocide (Bosnia and Herzegovina v. Serbia and Montenegro), Judgment. I.C.J. Reports 2007, p. 43. Available at:</w:t>
      </w:r>
      <w:r>
        <w:rPr>
          <w:rtl w:val="0"/>
        </w:rPr>
        <w:br w:type="textWrapping"/>
      </w:r>
      <w:r>
        <w:fldChar w:fldCharType="begin"/>
      </w:r>
      <w:r>
        <w:instrText xml:space="preserve"> HYPERLINK "https://www.icj-cij.org/node/103164" \h </w:instrText>
      </w:r>
      <w:r>
        <w:fldChar w:fldCharType="separate"/>
      </w:r>
      <w:r>
        <w:rPr>
          <w:color w:val="1155CC"/>
          <w:u w:val="single"/>
          <w:rtl w:val="0"/>
        </w:rPr>
        <w:t>https://www.icj-cij.org/node/103164</w:t>
      </w:r>
      <w:r>
        <w:rPr>
          <w:color w:val="1155CC"/>
          <w:u w:val="single"/>
          <w:rtl w:val="0"/>
        </w:rPr>
        <w:fldChar w:fldCharType="end"/>
      </w:r>
    </w:p>
    <w:p w14:paraId="0000003C">
      <w:pPr>
        <w:spacing w:before="240" w:after="240"/>
        <w:rPr>
          <w:color w:val="1155CC"/>
          <w:u w:val="single"/>
        </w:rPr>
      </w:pPr>
      <w:r>
        <w:rPr>
          <w:rtl w:val="0"/>
        </w:rPr>
        <w:t>International Court of Justice, 2022. Application of the Convention on the Prevention and Punishment of the Crime of Genocide (The Gambia v. Myanmar), Preliminary Objections, Judgment. I.C.J. Reports 2022, p. 477. Available at:</w:t>
      </w:r>
      <w:r>
        <w:rPr>
          <w:rtl w:val="0"/>
        </w:rPr>
        <w:br w:type="textWrapping"/>
      </w:r>
      <w:r>
        <w:fldChar w:fldCharType="begin"/>
      </w:r>
      <w:r>
        <w:instrText xml:space="preserve"> HYPERLINK "https://www.icj-cij.org/node/106179" \h </w:instrText>
      </w:r>
      <w:r>
        <w:fldChar w:fldCharType="separate"/>
      </w:r>
      <w:r>
        <w:rPr>
          <w:color w:val="1155CC"/>
          <w:u w:val="single"/>
          <w:rtl w:val="0"/>
        </w:rPr>
        <w:t>https://www.icj-cij.org/node/106179</w:t>
      </w:r>
      <w:r>
        <w:rPr>
          <w:color w:val="1155CC"/>
          <w:u w:val="single"/>
          <w:rtl w:val="0"/>
        </w:rPr>
        <w:fldChar w:fldCharType="end"/>
      </w:r>
    </w:p>
    <w:p w14:paraId="0000003D">
      <w:pPr>
        <w:spacing w:before="240" w:after="240"/>
        <w:rPr>
          <w:color w:val="1155CC"/>
          <w:u w:val="single"/>
        </w:rPr>
      </w:pPr>
      <w:r>
        <w:rPr>
          <w:rtl w:val="0"/>
        </w:rPr>
        <w:t>International Court of Justice, 2024a. Alleged Breaches of Certain International Obligations in respect of the Occupied Palestinian Territory (Nicaragua v. Germany), Application instituting proceedings and request for provisional measures, 1 March. Available at:</w:t>
      </w:r>
      <w:r>
        <w:rPr>
          <w:rtl w:val="0"/>
        </w:rPr>
        <w:br w:type="textWrapping"/>
      </w:r>
      <w:r>
        <w:fldChar w:fldCharType="begin"/>
      </w:r>
      <w:r>
        <w:instrText xml:space="preserve"> HYPERLINK "https://www.icj-cij.org/node/203820" \h </w:instrText>
      </w:r>
      <w:r>
        <w:fldChar w:fldCharType="separate"/>
      </w:r>
      <w:r>
        <w:rPr>
          <w:color w:val="1155CC"/>
          <w:u w:val="single"/>
          <w:rtl w:val="0"/>
        </w:rPr>
        <w:t>https://www.icj-cij.org/node/203820</w:t>
      </w:r>
      <w:r>
        <w:rPr>
          <w:color w:val="1155CC"/>
          <w:u w:val="single"/>
          <w:rtl w:val="0"/>
        </w:rPr>
        <w:fldChar w:fldCharType="end"/>
      </w:r>
    </w:p>
    <w:p w14:paraId="0000003E">
      <w:pPr>
        <w:spacing w:before="240" w:after="240"/>
        <w:rPr>
          <w:color w:val="1155CC"/>
          <w:u w:val="single"/>
        </w:rPr>
      </w:pPr>
      <w:r>
        <w:rPr>
          <w:rtl w:val="0"/>
        </w:rPr>
        <w:t>International Court of Justice, 2024b. Application of the International Convention on the Elimination of All Forms of Racial Discrimination (Armenia v. Azerbaijan), Preliminary Objections, Judgment of 12 November. Available at:</w:t>
      </w:r>
      <w:r>
        <w:rPr>
          <w:rtl w:val="0"/>
        </w:rPr>
        <w:br w:type="textWrapping"/>
      </w:r>
      <w:r>
        <w:fldChar w:fldCharType="begin"/>
      </w:r>
      <w:r>
        <w:instrText xml:space="preserve"> HYPERLINK "https://www.icj-cij.org/case/180" \h </w:instrText>
      </w:r>
      <w:r>
        <w:fldChar w:fldCharType="separate"/>
      </w:r>
      <w:r>
        <w:rPr>
          <w:color w:val="1155CC"/>
          <w:u w:val="single"/>
          <w:rtl w:val="0"/>
        </w:rPr>
        <w:t>https://www.icj-cij.org/case/180</w:t>
      </w:r>
      <w:r>
        <w:rPr>
          <w:color w:val="1155CC"/>
          <w:u w:val="single"/>
          <w:rtl w:val="0"/>
        </w:rPr>
        <w:fldChar w:fldCharType="end"/>
      </w:r>
    </w:p>
    <w:p w14:paraId="0000003F">
      <w:pPr>
        <w:spacing w:before="240" w:after="240"/>
        <w:rPr>
          <w:color w:val="1155CC"/>
          <w:u w:val="single"/>
        </w:rPr>
      </w:pPr>
      <w:r>
        <w:rPr>
          <w:rtl w:val="0"/>
        </w:rPr>
        <w:t>International Court of Justice, 2024c. Legal Consequences arising from the Policies and Practices of Israel in the Occupied Palestinian Territory, including East Jerusalem, Advisory Opinion of 19 July. Available at:</w:t>
      </w:r>
      <w:r>
        <w:rPr>
          <w:rtl w:val="0"/>
        </w:rPr>
        <w:br w:type="textWrapping"/>
      </w:r>
      <w:r>
        <w:fldChar w:fldCharType="begin"/>
      </w:r>
      <w:r>
        <w:instrText xml:space="preserve"> HYPERLINK "https://www.icj-cij.org/case/186" \h </w:instrText>
      </w:r>
      <w:r>
        <w:fldChar w:fldCharType="separate"/>
      </w:r>
      <w:r>
        <w:rPr>
          <w:color w:val="1155CC"/>
          <w:u w:val="single"/>
          <w:rtl w:val="0"/>
        </w:rPr>
        <w:t>https://www.icj-cij.org/case/186</w:t>
      </w:r>
      <w:r>
        <w:rPr>
          <w:color w:val="1155CC"/>
          <w:u w:val="single"/>
          <w:rtl w:val="0"/>
        </w:rPr>
        <w:fldChar w:fldCharType="end"/>
      </w:r>
    </w:p>
    <w:p w14:paraId="00000040">
      <w:pPr>
        <w:spacing w:before="240" w:after="240"/>
        <w:rPr>
          <w:color w:val="1155CC"/>
          <w:u w:val="single"/>
        </w:rPr>
      </w:pPr>
      <w:r>
        <w:rPr>
          <w:rtl w:val="0"/>
        </w:rPr>
        <w:t>International Court of Justice, 2025a. Alleged Breaches of Certain International Obligations in respect of the Occupied Palestinian Territory (Nicaragua v. Germany), Preliminary Objections submitted by the Federal Republic of Germany, 21 October. Available at:</w:t>
      </w:r>
      <w:r>
        <w:rPr>
          <w:rtl w:val="0"/>
        </w:rPr>
        <w:br w:type="textWrapping"/>
      </w:r>
      <w:r>
        <w:fldChar w:fldCharType="begin"/>
      </w:r>
      <w:r>
        <w:instrText xml:space="preserve"> HYPERLINK "https://www.icj-cij.org/sites/default/files/case-related/193/193-20251021-wri-01-00-en.pdf" \h </w:instrText>
      </w:r>
      <w:r>
        <w:fldChar w:fldCharType="separate"/>
      </w:r>
      <w:r>
        <w:rPr>
          <w:color w:val="1155CC"/>
          <w:u w:val="single"/>
          <w:rtl w:val="0"/>
        </w:rPr>
        <w:t>https://www.icj-cij.org/sites/default/files/case-related/193/193-20251021-wri-01-00-en.pdf</w:t>
      </w:r>
      <w:r>
        <w:rPr>
          <w:color w:val="1155CC"/>
          <w:u w:val="single"/>
          <w:rtl w:val="0"/>
        </w:rPr>
        <w:fldChar w:fldCharType="end"/>
      </w:r>
    </w:p>
    <w:p w14:paraId="00000041">
      <w:pPr>
        <w:spacing w:before="240" w:after="240"/>
        <w:rPr>
          <w:color w:val="1155CC"/>
          <w:u w:val="single"/>
        </w:rPr>
      </w:pPr>
      <w:r>
        <w:rPr>
          <w:rtl w:val="0"/>
        </w:rPr>
        <w:t>International Court of Justice, 2026b. Alleged Breaches of Certain International Obligations in respect of the Occupied Palestinian Territory (Nicaragua v. Germany), Verbatim Record CR 2026/30, public sitting held on 7 September. Available at:</w:t>
      </w:r>
      <w:r>
        <w:rPr>
          <w:rtl w:val="0"/>
        </w:rPr>
        <w:br w:type="textWrapping"/>
      </w:r>
      <w:r>
        <w:fldChar w:fldCharType="begin"/>
      </w:r>
      <w:r>
        <w:instrText xml:space="preserve"> HYPERLINK "https://www.icj-cij.org/sites/default/files/case-related/193/193-20260907-ora-01-00-bic.pdf" \h </w:instrText>
      </w:r>
      <w:r>
        <w:fldChar w:fldCharType="separate"/>
      </w:r>
      <w:r>
        <w:rPr>
          <w:color w:val="1155CC"/>
          <w:u w:val="single"/>
          <w:rtl w:val="0"/>
        </w:rPr>
        <w:t>https://www.icj-cij.org/sites/default/files/case-related/193/193-20260907-ora-01-00-bic.pdf</w:t>
      </w:r>
      <w:r>
        <w:rPr>
          <w:color w:val="1155CC"/>
          <w:u w:val="single"/>
          <w:rtl w:val="0"/>
        </w:rPr>
        <w:fldChar w:fldCharType="end"/>
      </w:r>
    </w:p>
    <w:p w14:paraId="00000042">
      <w:pPr>
        <w:spacing w:before="240" w:after="240"/>
        <w:rPr>
          <w:color w:val="1155CC"/>
          <w:u w:val="single"/>
        </w:rPr>
      </w:pPr>
      <w:r>
        <w:rPr>
          <w:rtl w:val="0"/>
        </w:rPr>
        <w:t>International Court of Justice, 2026c. Alleged Breaches of Certain International Obligations in respect of the Occupied Palestinian Territory (Nicaragua v. Germany), Verbatim Record CR 2026/31, public sitting held on 8 September. Available at:</w:t>
      </w:r>
      <w:r>
        <w:rPr>
          <w:rtl w:val="0"/>
        </w:rPr>
        <w:br w:type="textWrapping"/>
      </w:r>
      <w:r>
        <w:fldChar w:fldCharType="begin"/>
      </w:r>
      <w:r>
        <w:instrText xml:space="preserve"> HYPERLINK "https://www.icj-cij.org/sites/default/files/case-related/193/193-20260908-ora-01-00-bic.pdf" \h </w:instrText>
      </w:r>
      <w:r>
        <w:fldChar w:fldCharType="separate"/>
      </w:r>
      <w:r>
        <w:rPr>
          <w:color w:val="1155CC"/>
          <w:u w:val="single"/>
          <w:rtl w:val="0"/>
        </w:rPr>
        <w:t>https://www.icj-cij.org/sites/default/files/case-related/193/193-20260908-ora-01-00-bic.pdf</w:t>
      </w:r>
      <w:r>
        <w:rPr>
          <w:color w:val="1155CC"/>
          <w:u w:val="single"/>
          <w:rtl w:val="0"/>
        </w:rPr>
        <w:fldChar w:fldCharType="end"/>
      </w:r>
    </w:p>
    <w:p w14:paraId="00000043">
      <w:pPr>
        <w:spacing w:before="240" w:after="240"/>
        <w:rPr>
          <w:color w:val="1155CC"/>
          <w:u w:val="single"/>
        </w:rPr>
      </w:pPr>
      <w:r>
        <w:rPr>
          <w:rtl w:val="0"/>
        </w:rPr>
        <w:t>International Court of Justice, 2026d. Alleged Breaches of Certain International Obligations in respect of the Occupied Palestinian Territory (Nicaragua v. Germany), Verbatim Record CR 2026/32, public sitting held on 9 September. Available at:</w:t>
      </w:r>
      <w:r>
        <w:rPr>
          <w:rtl w:val="0"/>
        </w:rPr>
        <w:br w:type="textWrapping"/>
      </w:r>
      <w:r>
        <w:fldChar w:fldCharType="begin"/>
      </w:r>
      <w:r>
        <w:instrText xml:space="preserve"> HYPERLINK "https://www.icj-cij.org/sites/default/files/case-related/193/193-20260909-ora-01-00-bi.pdf" \h </w:instrText>
      </w:r>
      <w:r>
        <w:fldChar w:fldCharType="separate"/>
      </w:r>
      <w:r>
        <w:rPr>
          <w:color w:val="1155CC"/>
          <w:u w:val="single"/>
          <w:rtl w:val="0"/>
        </w:rPr>
        <w:t>https://www.icj-cij.org/sites/default/files/case-related/193/193-20260909-ora-01-00-bi.pdf</w:t>
      </w:r>
      <w:r>
        <w:rPr>
          <w:color w:val="1155CC"/>
          <w:u w:val="single"/>
          <w:rtl w:val="0"/>
        </w:rPr>
        <w:fldChar w:fldCharType="end"/>
      </w:r>
    </w:p>
    <w:p w14:paraId="00000044">
      <w:pPr>
        <w:spacing w:before="240" w:after="240"/>
        <w:rPr>
          <w:color w:val="1155CC"/>
          <w:u w:val="single"/>
        </w:rPr>
      </w:pPr>
      <w:r>
        <w:rPr>
          <w:rtl w:val="0"/>
        </w:rPr>
        <w:t>International Court of Justice, 2026e. Alleged Breaches of Certain International Obligations in respect of the Occupied Palestinian Territory (Nicaragua v. Germany), Verbatim Record CR 2026/33, public sitting held on 10 September. Available at:</w:t>
      </w:r>
      <w:r>
        <w:rPr>
          <w:rtl w:val="0"/>
        </w:rPr>
        <w:br w:type="textWrapping"/>
      </w:r>
      <w:r>
        <w:fldChar w:fldCharType="begin"/>
      </w:r>
      <w:r>
        <w:instrText xml:space="preserve"> HYPERLINK "https://www.icj-cij.org/sites/default/files/case-related/193/193-20260910-ora-01-00-bi.pdf" \h </w:instrText>
      </w:r>
      <w:r>
        <w:fldChar w:fldCharType="separate"/>
      </w:r>
      <w:r>
        <w:rPr>
          <w:color w:val="1155CC"/>
          <w:u w:val="single"/>
          <w:rtl w:val="0"/>
        </w:rPr>
        <w:t>https://www.icj-cij.org/sites/default/files/case-related/193/193-20260910-ora-01-00-bi.pdf</w:t>
      </w:r>
      <w:r>
        <w:rPr>
          <w:color w:val="1155CC"/>
          <w:u w:val="single"/>
          <w:rtl w:val="0"/>
        </w:rPr>
        <w:fldChar w:fldCharType="end"/>
      </w:r>
    </w:p>
    <w:p w14:paraId="00000045">
      <w:pPr>
        <w:ind w:left="432"/>
        <w:jc w:val="left"/>
      </w:pPr>
    </w:p>
    <w:p w14:paraId="00000046">
      <w:pPr>
        <w:ind w:left="432" w:hanging="432"/>
        <w:jc w:val="left"/>
      </w:pPr>
    </w:p>
    <w:sectPr>
      <w:footerReference r:id="rId5" w:type="default"/>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SimSun">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1E65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B946072">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5B946072">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pPr>
        <w:spacing w:before="0" w:after="0" w:line="360" w:lineRule="auto"/>
      </w:pPr>
      <w:r>
        <w:separator/>
      </w:r>
    </w:p>
  </w:footnote>
  <w:footnote w:type="continuationSeparator" w:id="31">
    <w:p>
      <w:pPr>
        <w:spacing w:before="0" w:after="0" w:line="360" w:lineRule="auto"/>
      </w:pPr>
      <w:r>
        <w:continuationSeparator/>
      </w:r>
    </w:p>
  </w:footnote>
  <w:footnote w:id="0">
    <w:p w14:paraId="165C24B5">
      <w:pPr>
        <w:pStyle w:val="12"/>
        <w:snapToGrid w:val="0"/>
      </w:pPr>
      <w:r>
        <w:rPr>
          <w:rStyle w:val="11"/>
        </w:rPr>
        <w:footnoteRef/>
      </w:r>
      <w:r>
        <w:t xml:space="preserve"> </w:t>
      </w:r>
      <w:r>
        <w:rPr>
          <w:rFonts w:hint="default"/>
        </w:rPr>
        <w:t>Haque, A.A., 2025. Nicaragua v. Germany: Why Israel is not an indispensable third party. Just Security, 20 November.</w:t>
      </w:r>
    </w:p>
  </w:footnote>
  <w:footnote w:id="1">
    <w:p w14:paraId="7972E3CF">
      <w:pPr>
        <w:pStyle w:val="12"/>
        <w:snapToGrid w:val="0"/>
      </w:pPr>
      <w:r>
        <w:rPr>
          <w:rStyle w:val="11"/>
        </w:rPr>
        <w:footnoteRef/>
      </w:r>
      <w:r>
        <w:t xml:space="preserve"> </w:t>
      </w:r>
      <w:r>
        <w:rPr>
          <w:rFonts w:hint="default"/>
        </w:rPr>
        <w:t xml:space="preserve">International Court of Justice, 2024a. Alleged Breaches of Certain International Obligations in respect of the Occupied Palestinian Territory (Nicaragua v. Germany), Application instituting proceedings and request for provisional measures, 1 March. </w:t>
      </w:r>
    </w:p>
  </w:footnote>
  <w:footnote w:id="2">
    <w:p w14:paraId="586D62A8">
      <w:pPr>
        <w:pStyle w:val="12"/>
        <w:snapToGrid w:val="0"/>
      </w:pPr>
      <w:r>
        <w:rPr>
          <w:rStyle w:val="11"/>
        </w:rPr>
        <w:footnoteRef/>
      </w:r>
      <w:r>
        <w:t xml:space="preserve"> </w:t>
      </w:r>
      <w:r>
        <w:rPr>
          <w:rFonts w:hint="default"/>
        </w:rPr>
        <w:t>International Court of Justice, 2025a. Alleged Breaches of Certain International Obligations in respect of the Occupied Palestinian Territory (Nicaragua v. Germany), Preliminary Objections submitted by the Federal Republic of Germany, 21 October.</w:t>
      </w:r>
    </w:p>
  </w:footnote>
  <w:footnote w:id="3">
    <w:p w14:paraId="5860E286">
      <w:pPr>
        <w:pStyle w:val="12"/>
        <w:snapToGrid w:val="0"/>
      </w:pPr>
      <w:r>
        <w:rPr>
          <w:rStyle w:val="11"/>
        </w:rPr>
        <w:footnoteRef/>
      </w:r>
      <w:r>
        <w:t xml:space="preserve"> </w:t>
      </w:r>
      <w:r>
        <w:rPr>
          <w:rFonts w:hint="default"/>
        </w:rPr>
        <w:t>International Court of Justice, 2022. Application of the Convention on the Prevention and Punishment of the Crime of Genocide (The Gambia v. Myanmar), Preliminary Objections, Judgment. I.C.J. Reports 2022, p. 477.</w:t>
      </w:r>
    </w:p>
  </w:footnote>
  <w:footnote w:id="4">
    <w:p w14:paraId="103725B9">
      <w:pPr>
        <w:pStyle w:val="12"/>
        <w:snapToGrid w:val="0"/>
      </w:pPr>
      <w:r>
        <w:rPr>
          <w:rStyle w:val="11"/>
        </w:rPr>
        <w:footnoteRef/>
      </w:r>
      <w:r>
        <w:t xml:space="preserve"> </w:t>
      </w:r>
      <w:r>
        <w:rPr>
          <w:rFonts w:hint="default"/>
        </w:rPr>
        <w:t>International Court of Justice, 2026b. Alleged Breaches of Certain International Obligations in respect of the Occupied Palestinian Territory (Nicaragua v. Germany), Verbatim Record CR 2026/30, public sitting held on 7 September.</w:t>
      </w:r>
    </w:p>
  </w:footnote>
  <w:footnote w:id="5">
    <w:p w14:paraId="054CD4DC">
      <w:pPr>
        <w:pStyle w:val="12"/>
        <w:snapToGrid w:val="0"/>
      </w:pPr>
      <w:r>
        <w:rPr>
          <w:rStyle w:val="11"/>
        </w:rPr>
        <w:footnoteRef/>
      </w:r>
      <w:r>
        <w:t xml:space="preserve"> </w:t>
      </w:r>
      <w:r>
        <w:rPr>
          <w:rFonts w:hint="default"/>
        </w:rPr>
        <w:t>International Court of Justice, 2026c. Alleged Breaches of Certain International Obligations in respect of the Occupied Palestinian Territory (Nicaragua v. Germany), Verbatim Record CR 2026/31, public sitting held on 8 September.</w:t>
      </w:r>
    </w:p>
  </w:footnote>
  <w:footnote w:id="6">
    <w:p w14:paraId="63A03AEC">
      <w:pPr>
        <w:pStyle w:val="12"/>
        <w:snapToGrid w:val="0"/>
      </w:pPr>
      <w:r>
        <w:rPr>
          <w:rStyle w:val="11"/>
        </w:rPr>
        <w:footnoteRef/>
      </w:r>
      <w:r>
        <w:t xml:space="preserve"> </w:t>
      </w:r>
      <w:r>
        <w:rPr>
          <w:rFonts w:hint="default"/>
        </w:rPr>
        <w:t>International Court of Justice, 2022. Application of the Convention on the Prevention and Punishment of the Crime of Genocide (The Gambia v. Myanmar), Preliminary Objections, Judgment. I.C.J. Reports 2022, p. 477.</w:t>
      </w:r>
    </w:p>
  </w:footnote>
  <w:footnote w:id="7">
    <w:p w14:paraId="2CDDFEF6">
      <w:pPr>
        <w:pStyle w:val="12"/>
        <w:snapToGrid w:val="0"/>
      </w:pPr>
      <w:r>
        <w:rPr>
          <w:rStyle w:val="11"/>
        </w:rPr>
        <w:footnoteRef/>
      </w:r>
      <w:r>
        <w:t xml:space="preserve"> </w:t>
      </w:r>
      <w:r>
        <w:rPr>
          <w:rFonts w:hint="default"/>
        </w:rPr>
        <w:t>International Court of Justice, 2022. Application of the Convention on the Prevention and Punishment of the Crime of Genocide (The Gambia v. Myanmar), Preliminary Objections, Judgment. I.C.J. Reports 2022, p. 477.</w:t>
      </w:r>
    </w:p>
  </w:footnote>
  <w:footnote w:id="8">
    <w:p w14:paraId="429AB206">
      <w:pPr>
        <w:pStyle w:val="12"/>
        <w:snapToGrid w:val="0"/>
      </w:pPr>
      <w:r>
        <w:rPr>
          <w:rStyle w:val="11"/>
        </w:rPr>
        <w:footnoteRef/>
      </w:r>
      <w:r>
        <w:t xml:space="preserve"> </w:t>
      </w:r>
      <w:r>
        <w:rPr>
          <w:rFonts w:hint="default"/>
        </w:rPr>
        <w:t>International Court of Justice, 2024b. Application of the International Convention on the Elimination of All Forms of Racial Discrimination (Armenia v. Azerbaijan), Preliminary Objections, Judgment of 12 November.</w:t>
      </w:r>
    </w:p>
  </w:footnote>
  <w:footnote w:id="9">
    <w:p w14:paraId="192CACAC">
      <w:pPr>
        <w:pStyle w:val="12"/>
        <w:snapToGrid w:val="0"/>
      </w:pPr>
      <w:r>
        <w:rPr>
          <w:rStyle w:val="11"/>
        </w:rPr>
        <w:footnoteRef/>
      </w:r>
      <w:r>
        <w:t xml:space="preserve"> </w:t>
      </w:r>
      <w:r>
        <w:rPr>
          <w:rFonts w:hint="default"/>
        </w:rPr>
        <w:t>International Court of Justice, 2022. Application of the Convention on the Prevention and Punishment of the Crime of Genocide (The Gambia v. Myanmar), Preliminary Objections, Judgment. I.C.J. Reports 2022, p. 477.</w:t>
      </w:r>
    </w:p>
  </w:footnote>
  <w:footnote w:id="10">
    <w:p w14:paraId="2ECB88D4">
      <w:pPr>
        <w:pStyle w:val="12"/>
        <w:snapToGrid w:val="0"/>
      </w:pPr>
      <w:r>
        <w:rPr>
          <w:rStyle w:val="11"/>
        </w:rPr>
        <w:footnoteRef/>
      </w:r>
      <w:r>
        <w:t xml:space="preserve"> </w:t>
      </w:r>
      <w:r>
        <w:rPr>
          <w:rFonts w:hint="default"/>
        </w:rPr>
        <w:t xml:space="preserve">International Court of Justice, 2026d. Alleged Breaches of Certain International Obligations in respect of the Occupied Palestinian Territory (Nicaragua v. Germany), Verbatim Record CR 2026/32, public sitting held on 9 September. </w:t>
      </w:r>
    </w:p>
  </w:footnote>
  <w:footnote w:id="11">
    <w:p w14:paraId="53ACCE86">
      <w:pPr>
        <w:pStyle w:val="12"/>
        <w:snapToGrid w:val="0"/>
      </w:pPr>
      <w:r>
        <w:rPr>
          <w:rStyle w:val="11"/>
        </w:rPr>
        <w:footnoteRef/>
      </w:r>
      <w:r>
        <w:t xml:space="preserve"> </w:t>
      </w:r>
      <w:r>
        <w:rPr>
          <w:rFonts w:hint="default"/>
        </w:rPr>
        <w:t>International Court of Justice, 1954. Monetary Gold Removed from Rome in 1943 (Italy v. France, United Kingdom and United States of America), Preliminary Question, Judgment. I.C.J. Reports 1954, p. 19.</w:t>
      </w:r>
    </w:p>
  </w:footnote>
  <w:footnote w:id="12">
    <w:p w14:paraId="5D6F7A38">
      <w:pPr>
        <w:pStyle w:val="12"/>
        <w:snapToGrid w:val="0"/>
      </w:pPr>
      <w:r>
        <w:rPr>
          <w:rStyle w:val="11"/>
        </w:rPr>
        <w:footnoteRef/>
      </w:r>
      <w:r>
        <w:t xml:space="preserve"> </w:t>
      </w:r>
      <w:r>
        <w:rPr>
          <w:rFonts w:hint="default"/>
        </w:rPr>
        <w:t>International Court of Justice, 2007. Application of the Convention on the Prevention and Punishment of the Crime of Genocide (Bosnia and Herzegovina v. Serbia and Montenegro), Judgment. I.C.J. Reports 2007, p. 43.</w:t>
      </w:r>
    </w:p>
  </w:footnote>
  <w:footnote w:id="13">
    <w:p w14:paraId="512DCFDA">
      <w:pPr>
        <w:pStyle w:val="12"/>
        <w:snapToGrid w:val="0"/>
      </w:pPr>
      <w:r>
        <w:rPr>
          <w:rStyle w:val="11"/>
        </w:rPr>
        <w:footnoteRef/>
      </w:r>
      <w:r>
        <w:t xml:space="preserve"> </w:t>
      </w:r>
      <w:r>
        <w:rPr>
          <w:rFonts w:hint="default"/>
        </w:rPr>
        <w:t>Haque, A.A., 2025. Nicaragua v. Germany: Why Israel is not an indispensable third party. Just Security, 20 November.</w:t>
      </w:r>
    </w:p>
  </w:footnote>
  <w:footnote w:id="14">
    <w:p w14:paraId="3B49E568">
      <w:pPr>
        <w:pStyle w:val="12"/>
        <w:snapToGrid w:val="0"/>
      </w:pPr>
      <w:r>
        <w:rPr>
          <w:rStyle w:val="11"/>
        </w:rPr>
        <w:footnoteRef/>
      </w:r>
      <w:r>
        <w:t xml:space="preserve"> </w:t>
      </w:r>
      <w:r>
        <w:rPr>
          <w:rFonts w:hint="default"/>
        </w:rPr>
        <w:t>International Court of Justice, 2026b. Alleged Breaches of Certain International Obligations in respect of the Occupied Palestinian Territory (Nicaragua v. Germany), Verbatim Record CR 2026/30, public sitting held on 7 September.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bordersDoNotSurroundHeader w:val="0"/>
  <w:bordersDoNotSurroundFooter w:val="0"/>
  <w:documentProtection w:enforcement="0"/>
  <w:defaultTabStop w:val="720"/>
  <w:displayHorizontalDrawingGridEvery w:val="0"/>
  <w:displayVerticalDrawingGridEvery w:val="2"/>
  <w:footnotePr>
    <w:footnote w:id="30"/>
    <w:footnote w:id="3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0FE724C5"/>
    <w:rsid w:val="162D3CF5"/>
    <w:rsid w:val="1F7B76CF"/>
    <w:rsid w:val="3BBD5671"/>
    <w:rsid w:val="3F934891"/>
    <w:rsid w:val="43F37823"/>
    <w:rsid w:val="526CD595"/>
    <w:rsid w:val="57EF2A6B"/>
    <w:rsid w:val="5B3B24AE"/>
    <w:rsid w:val="5BFFBFEB"/>
    <w:rsid w:val="5ED35976"/>
    <w:rsid w:val="5FBFD00A"/>
    <w:rsid w:val="67BEED44"/>
    <w:rsid w:val="6F9EAE70"/>
    <w:rsid w:val="6FFA5E35"/>
    <w:rsid w:val="777E016B"/>
    <w:rsid w:val="77A77B56"/>
    <w:rsid w:val="77FB49DC"/>
    <w:rsid w:val="794F5A39"/>
    <w:rsid w:val="795F5198"/>
    <w:rsid w:val="79E3B931"/>
    <w:rsid w:val="7B3EE9D4"/>
    <w:rsid w:val="7C3F54E4"/>
    <w:rsid w:val="7DEFCC17"/>
    <w:rsid w:val="7EEDB824"/>
    <w:rsid w:val="7FBFDD89"/>
    <w:rsid w:val="7FD69E8C"/>
    <w:rsid w:val="7FEFAFA0"/>
    <w:rsid w:val="9679BA62"/>
    <w:rsid w:val="99FF3D45"/>
    <w:rsid w:val="9EDAC030"/>
    <w:rsid w:val="AEFF2ED1"/>
    <w:rsid w:val="AF3F28F7"/>
    <w:rsid w:val="B77FD216"/>
    <w:rsid w:val="B99E7FA6"/>
    <w:rsid w:val="BDF5F76F"/>
    <w:rsid w:val="BFEB72A9"/>
    <w:rsid w:val="C1E49D6D"/>
    <w:rsid w:val="C6E709C2"/>
    <w:rsid w:val="CFEFB191"/>
    <w:rsid w:val="D0EDF620"/>
    <w:rsid w:val="D69E861B"/>
    <w:rsid w:val="DBF7014A"/>
    <w:rsid w:val="E6FC3853"/>
    <w:rsid w:val="EDEF8A92"/>
    <w:rsid w:val="EEFF379F"/>
    <w:rsid w:val="EF2930EC"/>
    <w:rsid w:val="F13DF02B"/>
    <w:rsid w:val="F3DB1271"/>
    <w:rsid w:val="F7D7BE7B"/>
    <w:rsid w:val="F7FE0E66"/>
    <w:rsid w:val="FE2F5BF6"/>
    <w:rsid w:val="FEDE300C"/>
    <w:rsid w:val="FEEF9755"/>
    <w:rsid w:val="FEEFD202"/>
    <w:rsid w:val="FFB35BBB"/>
    <w:rsid w:val="FFB95917"/>
    <w:rsid w:val="FFD38A2D"/>
    <w:rsid w:val="FFE79176"/>
    <w:rsid w:val="FFEF8AD4"/>
    <w:rsid w:val="FFEFC5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jc w:val="both"/>
    </w:pPr>
    <w:rPr>
      <w:sz w:val="24"/>
      <w:szCs w:val="24"/>
      <w:lang w:val="en"/>
    </w:rPr>
  </w:style>
  <w:style w:type="paragraph" w:styleId="2">
    <w:name w:val="heading 1"/>
    <w:basedOn w:val="1"/>
    <w:next w:val="1"/>
    <w:uiPriority w:val="0"/>
    <w:pPr>
      <w:keepNext/>
      <w:keepLines/>
      <w:spacing w:before="200"/>
    </w:pPr>
    <w:rPr>
      <w:b/>
      <w:bCs/>
      <w:sz w:val="28"/>
      <w:szCs w:val="28"/>
    </w:rPr>
  </w:style>
  <w:style w:type="paragraph" w:styleId="3">
    <w:name w:val="heading 2"/>
    <w:basedOn w:val="1"/>
    <w:next w:val="1"/>
    <w:uiPriority w:val="0"/>
    <w:pPr>
      <w:keepNext/>
      <w:keepLines/>
      <w:spacing w:before="200" w:after="120"/>
    </w:pPr>
    <w:rPr>
      <w:rFonts w:ascii="Times New Roman" w:hAnsi="Times New Roman" w:eastAsia="Times New Roman" w:cs="Times New Roman"/>
      <w:b/>
      <w:bCs/>
      <w:color w:val="000000"/>
      <w:sz w:val="28"/>
      <w:szCs w:val="28"/>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basedOn w:val="8"/>
    <w:uiPriority w:val="0"/>
    <w:rPr>
      <w:vertAlign w:val="superscript"/>
    </w:rPr>
  </w:style>
  <w:style w:type="paragraph" w:styleId="12">
    <w:name w:val="footnote text"/>
    <w:basedOn w:val="1"/>
    <w:uiPriority w:val="0"/>
    <w:pPr>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paragraph" w:styleId="14">
    <w:name w:val="Subtitle"/>
    <w:basedOn w:val="1"/>
    <w:next w:val="1"/>
    <w:uiPriority w:val="0"/>
    <w:rPr>
      <w:rFonts w:ascii="Calibri" w:hAnsi="Calibri" w:eastAsia="Calibri" w:cs="Calibri"/>
      <w:i/>
      <w:iCs/>
      <w:color w:val="4F81BD"/>
      <w:sz w:val="24"/>
      <w:szCs w:val="24"/>
    </w:rPr>
  </w:style>
  <w:style w:type="paragraph" w:styleId="15">
    <w:name w:val="Title"/>
    <w:basedOn w:val="1"/>
    <w:next w:val="1"/>
    <w:uiPriority w:val="0"/>
    <w:pPr>
      <w:spacing w:before="200" w:after="120" w:line="240" w:lineRule="auto"/>
    </w:pPr>
    <w:rPr>
      <w:rFonts w:ascii="Times New Roman" w:hAnsi="Times New Roman" w:eastAsia="Times New Roman" w:cs="Times New Roman"/>
      <w:b/>
      <w:bCs/>
      <w:color w:val="000000"/>
      <w:sz w:val="28"/>
      <w:szCs w:val="28"/>
    </w:rPr>
  </w:style>
  <w:style w:type="table" w:customStyle="1" w:styleId="16">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Lines>1</Lines>
  <Paragraphs>1</Paragraphs>
  <TotalTime>10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2026-09-12T08:30:48Z</dcterms:created>
  <dc:creator>Data</dc:creator>
  <cp:lastModifiedBy>Deepak Paliwal</cp:lastModifiedBy>
  <dcterms:modified xsi:type="dcterms:W3CDTF">2026-09-12T08:55:35Z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0E53B7767B8B37C387C2A46A6048B5C4_42</vt:lpwstr>
  </property>
</Properties>
</file>