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80114" w:rsidRDefault="00C80114">
      <w:pPr>
        <w:pStyle w:val="Title"/>
        <w:jc w:val="center"/>
        <w:rPr>
          <w:b/>
          <w:bCs/>
          <w:smallCaps/>
          <w:sz w:val="32"/>
          <w:szCs w:val="32"/>
        </w:rPr>
      </w:pPr>
      <w:bookmarkStart w:id="0" w:name="_h2tm6eupxele" w:colFirst="0" w:colLast="0"/>
      <w:bookmarkEnd w:id="0"/>
    </w:p>
    <w:p w14:paraId="00000002" w14:textId="77777777" w:rsidR="00C80114" w:rsidRDefault="00C80114">
      <w:pPr>
        <w:pStyle w:val="Title"/>
        <w:jc w:val="center"/>
        <w:rPr>
          <w:b/>
          <w:bCs/>
          <w:smallCaps/>
          <w:sz w:val="32"/>
          <w:szCs w:val="32"/>
        </w:rPr>
      </w:pPr>
    </w:p>
    <w:p w14:paraId="00000003" w14:textId="77777777" w:rsidR="00C80114" w:rsidRDefault="00C80114">
      <w:pPr>
        <w:pStyle w:val="Title"/>
        <w:jc w:val="center"/>
        <w:rPr>
          <w:b/>
          <w:bCs/>
          <w:smallCaps/>
          <w:sz w:val="32"/>
          <w:szCs w:val="32"/>
        </w:rPr>
      </w:pPr>
    </w:p>
    <w:p w14:paraId="00000004" w14:textId="77777777" w:rsidR="00C80114" w:rsidRDefault="00C80114">
      <w:pPr>
        <w:pStyle w:val="Title"/>
        <w:jc w:val="center"/>
        <w:rPr>
          <w:b/>
          <w:bCs/>
          <w:smallCaps/>
          <w:sz w:val="32"/>
          <w:szCs w:val="32"/>
        </w:rPr>
      </w:pPr>
    </w:p>
    <w:p w14:paraId="00000005" w14:textId="77777777" w:rsidR="00C80114" w:rsidRDefault="00C80114">
      <w:pPr>
        <w:pStyle w:val="Title"/>
        <w:jc w:val="center"/>
        <w:rPr>
          <w:b/>
          <w:bCs/>
          <w:smallCaps/>
          <w:sz w:val="32"/>
          <w:szCs w:val="32"/>
        </w:rPr>
      </w:pPr>
    </w:p>
    <w:p w14:paraId="00000006" w14:textId="77777777" w:rsidR="00C80114" w:rsidRDefault="00C80114">
      <w:pPr>
        <w:pStyle w:val="Title"/>
        <w:jc w:val="center"/>
        <w:rPr>
          <w:b/>
          <w:bCs/>
          <w:smallCaps/>
          <w:sz w:val="32"/>
          <w:szCs w:val="32"/>
        </w:rPr>
      </w:pPr>
    </w:p>
    <w:p w14:paraId="00000007" w14:textId="77777777" w:rsidR="00C80114" w:rsidRDefault="00C80114">
      <w:pPr>
        <w:pStyle w:val="Title"/>
        <w:jc w:val="center"/>
        <w:rPr>
          <w:b/>
          <w:bCs/>
          <w:smallCaps/>
          <w:sz w:val="32"/>
          <w:szCs w:val="32"/>
        </w:rPr>
      </w:pPr>
    </w:p>
    <w:p w14:paraId="00000008" w14:textId="77777777" w:rsidR="00C80114" w:rsidRDefault="00C80114">
      <w:pPr>
        <w:pStyle w:val="Title"/>
        <w:jc w:val="center"/>
        <w:rPr>
          <w:b/>
          <w:bCs/>
          <w:smallCaps/>
          <w:sz w:val="32"/>
          <w:szCs w:val="32"/>
        </w:rPr>
      </w:pPr>
    </w:p>
    <w:p w14:paraId="00000009" w14:textId="77777777" w:rsidR="00C80114" w:rsidRDefault="00C80114">
      <w:pPr>
        <w:pStyle w:val="Title"/>
        <w:jc w:val="center"/>
        <w:rPr>
          <w:b/>
          <w:bCs/>
          <w:smallCaps/>
          <w:sz w:val="32"/>
          <w:szCs w:val="32"/>
        </w:rPr>
      </w:pPr>
    </w:p>
    <w:p w14:paraId="0000000A" w14:textId="77777777" w:rsidR="00C80114" w:rsidRDefault="00C80114">
      <w:pPr>
        <w:pStyle w:val="Title"/>
        <w:jc w:val="center"/>
        <w:rPr>
          <w:b/>
          <w:bCs/>
          <w:smallCaps/>
          <w:sz w:val="32"/>
          <w:szCs w:val="32"/>
        </w:rPr>
      </w:pPr>
    </w:p>
    <w:p w14:paraId="0000000B" w14:textId="77777777" w:rsidR="00C80114" w:rsidRDefault="00C80114">
      <w:pPr>
        <w:pStyle w:val="Title"/>
        <w:jc w:val="center"/>
        <w:rPr>
          <w:b/>
          <w:bCs/>
          <w:smallCaps/>
          <w:sz w:val="32"/>
          <w:szCs w:val="32"/>
        </w:rPr>
      </w:pPr>
    </w:p>
    <w:p w14:paraId="0000000C" w14:textId="77777777" w:rsidR="00C80114" w:rsidRDefault="00000000">
      <w:pPr>
        <w:pStyle w:val="Title"/>
        <w:jc w:val="center"/>
        <w:rPr>
          <w:b/>
          <w:bCs/>
          <w:smallCaps/>
          <w:sz w:val="32"/>
          <w:szCs w:val="32"/>
        </w:rPr>
      </w:pPr>
      <w:r>
        <w:rPr>
          <w:b/>
          <w:bCs/>
          <w:smallCaps/>
          <w:sz w:val="32"/>
          <w:szCs w:val="32"/>
        </w:rPr>
        <w:t>THE INTERNATIONAL COMMUNITY’S RESPONSE TO THE BOSNIAN WAR: FROM PEACEKEEPING TO MILITARY INTERVENTION</w:t>
      </w:r>
      <w:r>
        <w:br w:type="page"/>
      </w:r>
    </w:p>
    <w:p w14:paraId="0000000D" w14:textId="77777777" w:rsidR="00C80114" w:rsidRDefault="00000000" w:rsidP="00810EFC">
      <w:pPr>
        <w:keepNext/>
        <w:keepLines/>
        <w:pBdr>
          <w:top w:val="nil"/>
          <w:left w:val="nil"/>
          <w:bottom w:val="nil"/>
          <w:right w:val="nil"/>
          <w:between w:val="nil"/>
        </w:pBdr>
        <w:spacing w:before="240" w:line="360" w:lineRule="auto"/>
        <w:jc w:val="center"/>
        <w:rPr>
          <w:b/>
          <w:bCs/>
          <w:color w:val="000000"/>
          <w:sz w:val="28"/>
          <w:szCs w:val="28"/>
        </w:rPr>
      </w:pPr>
      <w:r>
        <w:rPr>
          <w:b/>
          <w:bCs/>
          <w:color w:val="000000"/>
          <w:sz w:val="28"/>
          <w:szCs w:val="28"/>
        </w:rPr>
        <w:lastRenderedPageBreak/>
        <w:t>Table of Contents</w:t>
      </w:r>
    </w:p>
    <w:sdt>
      <w:sdtPr>
        <w:id w:val="-375819467"/>
        <w:docPartObj>
          <w:docPartGallery w:val="Table of Contents"/>
          <w:docPartUnique/>
        </w:docPartObj>
      </w:sdtPr>
      <w:sdtContent>
        <w:p w14:paraId="6CB57FAE" w14:textId="07F90736" w:rsidR="00810EFC" w:rsidRDefault="00000000" w:rsidP="00810EFC">
          <w:pPr>
            <w:pStyle w:val="TOC1"/>
            <w:tabs>
              <w:tab w:val="right" w:leader="dot" w:pos="9350"/>
            </w:tabs>
            <w:spacing w:line="360" w:lineRule="auto"/>
            <w:rPr>
              <w:noProof/>
            </w:rPr>
          </w:pPr>
          <w:r>
            <w:fldChar w:fldCharType="begin"/>
          </w:r>
          <w:r>
            <w:instrText xml:space="preserve"> TOC \h \u \z \t "Heading 1,1,Heading 2,2,Heading 3,3,"</w:instrText>
          </w:r>
          <w:r>
            <w:fldChar w:fldCharType="separate"/>
          </w:r>
          <w:hyperlink w:anchor="_Toc240127706" w:history="1">
            <w:r w:rsidR="00810EFC" w:rsidRPr="00976EF5">
              <w:rPr>
                <w:rStyle w:val="Hyperlink"/>
                <w:noProof/>
              </w:rPr>
              <w:t>1. Introduction</w:t>
            </w:r>
            <w:r w:rsidR="00810EFC">
              <w:rPr>
                <w:noProof/>
                <w:webHidden/>
              </w:rPr>
              <w:tab/>
            </w:r>
            <w:r w:rsidR="00810EFC">
              <w:rPr>
                <w:noProof/>
                <w:webHidden/>
              </w:rPr>
              <w:fldChar w:fldCharType="begin"/>
            </w:r>
            <w:r w:rsidR="00810EFC">
              <w:rPr>
                <w:noProof/>
                <w:webHidden/>
              </w:rPr>
              <w:instrText xml:space="preserve"> PAGEREF _Toc240127706 \h </w:instrText>
            </w:r>
            <w:r w:rsidR="00810EFC">
              <w:rPr>
                <w:noProof/>
                <w:webHidden/>
              </w:rPr>
            </w:r>
            <w:r w:rsidR="00810EFC">
              <w:rPr>
                <w:noProof/>
                <w:webHidden/>
              </w:rPr>
              <w:fldChar w:fldCharType="separate"/>
            </w:r>
            <w:r w:rsidR="00810EFC">
              <w:rPr>
                <w:noProof/>
                <w:webHidden/>
              </w:rPr>
              <w:t>3</w:t>
            </w:r>
            <w:r w:rsidR="00810EFC">
              <w:rPr>
                <w:noProof/>
                <w:webHidden/>
              </w:rPr>
              <w:fldChar w:fldCharType="end"/>
            </w:r>
          </w:hyperlink>
        </w:p>
        <w:p w14:paraId="09F03751" w14:textId="5F90EFF2" w:rsidR="00810EFC" w:rsidRDefault="00810EFC" w:rsidP="00810EFC">
          <w:pPr>
            <w:pStyle w:val="TOC1"/>
            <w:tabs>
              <w:tab w:val="right" w:leader="dot" w:pos="9350"/>
            </w:tabs>
            <w:spacing w:line="360" w:lineRule="auto"/>
            <w:rPr>
              <w:noProof/>
            </w:rPr>
          </w:pPr>
          <w:hyperlink w:anchor="_Toc240127707" w:history="1">
            <w:r w:rsidRPr="00976EF5">
              <w:rPr>
                <w:rStyle w:val="Hyperlink"/>
                <w:noProof/>
              </w:rPr>
              <w:t>2. Yugoslavia from the 1960s to the Bosnian War</w:t>
            </w:r>
            <w:r>
              <w:rPr>
                <w:noProof/>
                <w:webHidden/>
              </w:rPr>
              <w:tab/>
            </w:r>
            <w:r>
              <w:rPr>
                <w:noProof/>
                <w:webHidden/>
              </w:rPr>
              <w:fldChar w:fldCharType="begin"/>
            </w:r>
            <w:r>
              <w:rPr>
                <w:noProof/>
                <w:webHidden/>
              </w:rPr>
              <w:instrText xml:space="preserve"> PAGEREF _Toc240127707 \h </w:instrText>
            </w:r>
            <w:r>
              <w:rPr>
                <w:noProof/>
                <w:webHidden/>
              </w:rPr>
            </w:r>
            <w:r>
              <w:rPr>
                <w:noProof/>
                <w:webHidden/>
              </w:rPr>
              <w:fldChar w:fldCharType="separate"/>
            </w:r>
            <w:r>
              <w:rPr>
                <w:noProof/>
                <w:webHidden/>
              </w:rPr>
              <w:t>3</w:t>
            </w:r>
            <w:r>
              <w:rPr>
                <w:noProof/>
                <w:webHidden/>
              </w:rPr>
              <w:fldChar w:fldCharType="end"/>
            </w:r>
          </w:hyperlink>
        </w:p>
        <w:p w14:paraId="5F86D0B3" w14:textId="2481C044" w:rsidR="00810EFC" w:rsidRDefault="00810EFC" w:rsidP="00810EFC">
          <w:pPr>
            <w:pStyle w:val="TOC1"/>
            <w:tabs>
              <w:tab w:val="right" w:leader="dot" w:pos="9350"/>
            </w:tabs>
            <w:spacing w:line="360" w:lineRule="auto"/>
            <w:rPr>
              <w:noProof/>
            </w:rPr>
          </w:pPr>
          <w:hyperlink w:anchor="_Toc240127708" w:history="1">
            <w:r w:rsidRPr="00976EF5">
              <w:rPr>
                <w:rStyle w:val="Hyperlink"/>
                <w:noProof/>
              </w:rPr>
              <w:t>3. The Early International Response, 1992–1993</w:t>
            </w:r>
            <w:r>
              <w:rPr>
                <w:noProof/>
                <w:webHidden/>
              </w:rPr>
              <w:tab/>
            </w:r>
            <w:r>
              <w:rPr>
                <w:noProof/>
                <w:webHidden/>
              </w:rPr>
              <w:fldChar w:fldCharType="begin"/>
            </w:r>
            <w:r>
              <w:rPr>
                <w:noProof/>
                <w:webHidden/>
              </w:rPr>
              <w:instrText xml:space="preserve"> PAGEREF _Toc240127708 \h </w:instrText>
            </w:r>
            <w:r>
              <w:rPr>
                <w:noProof/>
                <w:webHidden/>
              </w:rPr>
            </w:r>
            <w:r>
              <w:rPr>
                <w:noProof/>
                <w:webHidden/>
              </w:rPr>
              <w:fldChar w:fldCharType="separate"/>
            </w:r>
            <w:r>
              <w:rPr>
                <w:noProof/>
                <w:webHidden/>
              </w:rPr>
              <w:t>4</w:t>
            </w:r>
            <w:r>
              <w:rPr>
                <w:noProof/>
                <w:webHidden/>
              </w:rPr>
              <w:fldChar w:fldCharType="end"/>
            </w:r>
          </w:hyperlink>
        </w:p>
        <w:p w14:paraId="52015EA9" w14:textId="0DDEFEBF" w:rsidR="00810EFC" w:rsidRDefault="00810EFC" w:rsidP="00810EFC">
          <w:pPr>
            <w:pStyle w:val="TOC1"/>
            <w:tabs>
              <w:tab w:val="right" w:leader="dot" w:pos="9350"/>
            </w:tabs>
            <w:spacing w:line="360" w:lineRule="auto"/>
            <w:rPr>
              <w:noProof/>
            </w:rPr>
          </w:pPr>
          <w:hyperlink w:anchor="_Toc240127709" w:history="1">
            <w:r w:rsidRPr="00976EF5">
              <w:rPr>
                <w:rStyle w:val="Hyperlink"/>
                <w:noProof/>
              </w:rPr>
              <w:t>4. Srebrenica and the Failure of International Protection</w:t>
            </w:r>
            <w:r>
              <w:rPr>
                <w:noProof/>
                <w:webHidden/>
              </w:rPr>
              <w:tab/>
            </w:r>
            <w:r>
              <w:rPr>
                <w:noProof/>
                <w:webHidden/>
              </w:rPr>
              <w:fldChar w:fldCharType="begin"/>
            </w:r>
            <w:r>
              <w:rPr>
                <w:noProof/>
                <w:webHidden/>
              </w:rPr>
              <w:instrText xml:space="preserve"> PAGEREF _Toc240127709 \h </w:instrText>
            </w:r>
            <w:r>
              <w:rPr>
                <w:noProof/>
                <w:webHidden/>
              </w:rPr>
            </w:r>
            <w:r>
              <w:rPr>
                <w:noProof/>
                <w:webHidden/>
              </w:rPr>
              <w:fldChar w:fldCharType="separate"/>
            </w:r>
            <w:r>
              <w:rPr>
                <w:noProof/>
                <w:webHidden/>
              </w:rPr>
              <w:t>5</w:t>
            </w:r>
            <w:r>
              <w:rPr>
                <w:noProof/>
                <w:webHidden/>
              </w:rPr>
              <w:fldChar w:fldCharType="end"/>
            </w:r>
          </w:hyperlink>
        </w:p>
        <w:p w14:paraId="199947FF" w14:textId="24CF92C0" w:rsidR="00810EFC" w:rsidRDefault="00810EFC" w:rsidP="00810EFC">
          <w:pPr>
            <w:pStyle w:val="TOC1"/>
            <w:tabs>
              <w:tab w:val="right" w:leader="dot" w:pos="9350"/>
            </w:tabs>
            <w:spacing w:line="360" w:lineRule="auto"/>
            <w:rPr>
              <w:noProof/>
            </w:rPr>
          </w:pPr>
          <w:hyperlink w:anchor="_Toc240127710" w:history="1">
            <w:r w:rsidRPr="00976EF5">
              <w:rPr>
                <w:rStyle w:val="Hyperlink"/>
                <w:noProof/>
              </w:rPr>
              <w:t>5. NATO and the Shift towards Military Intervention</w:t>
            </w:r>
            <w:r>
              <w:rPr>
                <w:noProof/>
                <w:webHidden/>
              </w:rPr>
              <w:tab/>
            </w:r>
            <w:r>
              <w:rPr>
                <w:noProof/>
                <w:webHidden/>
              </w:rPr>
              <w:fldChar w:fldCharType="begin"/>
            </w:r>
            <w:r>
              <w:rPr>
                <w:noProof/>
                <w:webHidden/>
              </w:rPr>
              <w:instrText xml:space="preserve"> PAGEREF _Toc240127710 \h </w:instrText>
            </w:r>
            <w:r>
              <w:rPr>
                <w:noProof/>
                <w:webHidden/>
              </w:rPr>
            </w:r>
            <w:r>
              <w:rPr>
                <w:noProof/>
                <w:webHidden/>
              </w:rPr>
              <w:fldChar w:fldCharType="separate"/>
            </w:r>
            <w:r>
              <w:rPr>
                <w:noProof/>
                <w:webHidden/>
              </w:rPr>
              <w:t>5</w:t>
            </w:r>
            <w:r>
              <w:rPr>
                <w:noProof/>
                <w:webHidden/>
              </w:rPr>
              <w:fldChar w:fldCharType="end"/>
            </w:r>
          </w:hyperlink>
        </w:p>
        <w:p w14:paraId="286BC9DF" w14:textId="3702412C" w:rsidR="00810EFC" w:rsidRDefault="00810EFC" w:rsidP="00810EFC">
          <w:pPr>
            <w:pStyle w:val="TOC1"/>
            <w:tabs>
              <w:tab w:val="right" w:leader="dot" w:pos="9350"/>
            </w:tabs>
            <w:spacing w:line="360" w:lineRule="auto"/>
            <w:rPr>
              <w:noProof/>
            </w:rPr>
          </w:pPr>
          <w:hyperlink w:anchor="_Toc240127711" w:history="1">
            <w:r w:rsidRPr="00976EF5">
              <w:rPr>
                <w:rStyle w:val="Hyperlink"/>
                <w:noProof/>
              </w:rPr>
              <w:t>6. Diplomacy and the Dayton Peace Agreement</w:t>
            </w:r>
            <w:r>
              <w:rPr>
                <w:noProof/>
                <w:webHidden/>
              </w:rPr>
              <w:tab/>
            </w:r>
            <w:r>
              <w:rPr>
                <w:noProof/>
                <w:webHidden/>
              </w:rPr>
              <w:fldChar w:fldCharType="begin"/>
            </w:r>
            <w:r>
              <w:rPr>
                <w:noProof/>
                <w:webHidden/>
              </w:rPr>
              <w:instrText xml:space="preserve"> PAGEREF _Toc240127711 \h </w:instrText>
            </w:r>
            <w:r>
              <w:rPr>
                <w:noProof/>
                <w:webHidden/>
              </w:rPr>
            </w:r>
            <w:r>
              <w:rPr>
                <w:noProof/>
                <w:webHidden/>
              </w:rPr>
              <w:fldChar w:fldCharType="separate"/>
            </w:r>
            <w:r>
              <w:rPr>
                <w:noProof/>
                <w:webHidden/>
              </w:rPr>
              <w:t>6</w:t>
            </w:r>
            <w:r>
              <w:rPr>
                <w:noProof/>
                <w:webHidden/>
              </w:rPr>
              <w:fldChar w:fldCharType="end"/>
            </w:r>
          </w:hyperlink>
        </w:p>
        <w:p w14:paraId="4A2C2762" w14:textId="2B57A243" w:rsidR="00810EFC" w:rsidRDefault="00810EFC" w:rsidP="00810EFC">
          <w:pPr>
            <w:pStyle w:val="TOC1"/>
            <w:tabs>
              <w:tab w:val="right" w:leader="dot" w:pos="9350"/>
            </w:tabs>
            <w:spacing w:line="360" w:lineRule="auto"/>
            <w:rPr>
              <w:noProof/>
            </w:rPr>
          </w:pPr>
          <w:hyperlink w:anchor="_Toc240127712" w:history="1">
            <w:r w:rsidRPr="00976EF5">
              <w:rPr>
                <w:rStyle w:val="Hyperlink"/>
                <w:noProof/>
              </w:rPr>
              <w:t>7. International Criminal Justice</w:t>
            </w:r>
            <w:r>
              <w:rPr>
                <w:noProof/>
                <w:webHidden/>
              </w:rPr>
              <w:tab/>
            </w:r>
            <w:r>
              <w:rPr>
                <w:noProof/>
                <w:webHidden/>
              </w:rPr>
              <w:fldChar w:fldCharType="begin"/>
            </w:r>
            <w:r>
              <w:rPr>
                <w:noProof/>
                <w:webHidden/>
              </w:rPr>
              <w:instrText xml:space="preserve"> PAGEREF _Toc240127712 \h </w:instrText>
            </w:r>
            <w:r>
              <w:rPr>
                <w:noProof/>
                <w:webHidden/>
              </w:rPr>
            </w:r>
            <w:r>
              <w:rPr>
                <w:noProof/>
                <w:webHidden/>
              </w:rPr>
              <w:fldChar w:fldCharType="separate"/>
            </w:r>
            <w:r>
              <w:rPr>
                <w:noProof/>
                <w:webHidden/>
              </w:rPr>
              <w:t>6</w:t>
            </w:r>
            <w:r>
              <w:rPr>
                <w:noProof/>
                <w:webHidden/>
              </w:rPr>
              <w:fldChar w:fldCharType="end"/>
            </w:r>
          </w:hyperlink>
        </w:p>
        <w:p w14:paraId="1AEFBD5C" w14:textId="6C0471AA" w:rsidR="00810EFC" w:rsidRDefault="00810EFC" w:rsidP="00810EFC">
          <w:pPr>
            <w:pStyle w:val="TOC1"/>
            <w:tabs>
              <w:tab w:val="right" w:leader="dot" w:pos="9350"/>
            </w:tabs>
            <w:spacing w:line="360" w:lineRule="auto"/>
            <w:rPr>
              <w:noProof/>
            </w:rPr>
          </w:pPr>
          <w:hyperlink w:anchor="_Toc240127713" w:history="1">
            <w:r w:rsidRPr="00976EF5">
              <w:rPr>
                <w:rStyle w:val="Hyperlink"/>
                <w:noProof/>
              </w:rPr>
              <w:t>8. Overall Evaluation</w:t>
            </w:r>
            <w:r>
              <w:rPr>
                <w:noProof/>
                <w:webHidden/>
              </w:rPr>
              <w:tab/>
            </w:r>
            <w:r>
              <w:rPr>
                <w:noProof/>
                <w:webHidden/>
              </w:rPr>
              <w:fldChar w:fldCharType="begin"/>
            </w:r>
            <w:r>
              <w:rPr>
                <w:noProof/>
                <w:webHidden/>
              </w:rPr>
              <w:instrText xml:space="preserve"> PAGEREF _Toc240127713 \h </w:instrText>
            </w:r>
            <w:r>
              <w:rPr>
                <w:noProof/>
                <w:webHidden/>
              </w:rPr>
            </w:r>
            <w:r>
              <w:rPr>
                <w:noProof/>
                <w:webHidden/>
              </w:rPr>
              <w:fldChar w:fldCharType="separate"/>
            </w:r>
            <w:r>
              <w:rPr>
                <w:noProof/>
                <w:webHidden/>
              </w:rPr>
              <w:t>7</w:t>
            </w:r>
            <w:r>
              <w:rPr>
                <w:noProof/>
                <w:webHidden/>
              </w:rPr>
              <w:fldChar w:fldCharType="end"/>
            </w:r>
          </w:hyperlink>
        </w:p>
        <w:p w14:paraId="7A403554" w14:textId="0FB5CF09" w:rsidR="00810EFC" w:rsidRDefault="00810EFC" w:rsidP="00810EFC">
          <w:pPr>
            <w:pStyle w:val="TOC1"/>
            <w:tabs>
              <w:tab w:val="right" w:leader="dot" w:pos="9350"/>
            </w:tabs>
            <w:spacing w:line="360" w:lineRule="auto"/>
            <w:rPr>
              <w:noProof/>
            </w:rPr>
          </w:pPr>
          <w:hyperlink w:anchor="_Toc240127714" w:history="1">
            <w:r w:rsidRPr="00976EF5">
              <w:rPr>
                <w:rStyle w:val="Hyperlink"/>
                <w:noProof/>
              </w:rPr>
              <w:t>9. Conclusion</w:t>
            </w:r>
            <w:r>
              <w:rPr>
                <w:noProof/>
                <w:webHidden/>
              </w:rPr>
              <w:tab/>
            </w:r>
            <w:r>
              <w:rPr>
                <w:noProof/>
                <w:webHidden/>
              </w:rPr>
              <w:fldChar w:fldCharType="begin"/>
            </w:r>
            <w:r>
              <w:rPr>
                <w:noProof/>
                <w:webHidden/>
              </w:rPr>
              <w:instrText xml:space="preserve"> PAGEREF _Toc240127714 \h </w:instrText>
            </w:r>
            <w:r>
              <w:rPr>
                <w:noProof/>
                <w:webHidden/>
              </w:rPr>
            </w:r>
            <w:r>
              <w:rPr>
                <w:noProof/>
                <w:webHidden/>
              </w:rPr>
              <w:fldChar w:fldCharType="separate"/>
            </w:r>
            <w:r>
              <w:rPr>
                <w:noProof/>
                <w:webHidden/>
              </w:rPr>
              <w:t>7</w:t>
            </w:r>
            <w:r>
              <w:rPr>
                <w:noProof/>
                <w:webHidden/>
              </w:rPr>
              <w:fldChar w:fldCharType="end"/>
            </w:r>
          </w:hyperlink>
        </w:p>
        <w:p w14:paraId="0C4ADF97" w14:textId="09449588" w:rsidR="00810EFC" w:rsidRDefault="00810EFC" w:rsidP="00810EFC">
          <w:pPr>
            <w:pStyle w:val="TOC1"/>
            <w:tabs>
              <w:tab w:val="right" w:leader="dot" w:pos="9350"/>
            </w:tabs>
            <w:spacing w:line="360" w:lineRule="auto"/>
            <w:rPr>
              <w:noProof/>
            </w:rPr>
          </w:pPr>
          <w:hyperlink w:anchor="_Toc240127715" w:history="1">
            <w:r w:rsidRPr="00976EF5">
              <w:rPr>
                <w:rStyle w:val="Hyperlink"/>
                <w:noProof/>
              </w:rPr>
              <w:t>Bibliography</w:t>
            </w:r>
            <w:r>
              <w:rPr>
                <w:noProof/>
                <w:webHidden/>
              </w:rPr>
              <w:tab/>
            </w:r>
            <w:r>
              <w:rPr>
                <w:noProof/>
                <w:webHidden/>
              </w:rPr>
              <w:fldChar w:fldCharType="begin"/>
            </w:r>
            <w:r>
              <w:rPr>
                <w:noProof/>
                <w:webHidden/>
              </w:rPr>
              <w:instrText xml:space="preserve"> PAGEREF _Toc240127715 \h </w:instrText>
            </w:r>
            <w:r>
              <w:rPr>
                <w:noProof/>
                <w:webHidden/>
              </w:rPr>
            </w:r>
            <w:r>
              <w:rPr>
                <w:noProof/>
                <w:webHidden/>
              </w:rPr>
              <w:fldChar w:fldCharType="separate"/>
            </w:r>
            <w:r>
              <w:rPr>
                <w:noProof/>
                <w:webHidden/>
              </w:rPr>
              <w:t>9</w:t>
            </w:r>
            <w:r>
              <w:rPr>
                <w:noProof/>
                <w:webHidden/>
              </w:rPr>
              <w:fldChar w:fldCharType="end"/>
            </w:r>
          </w:hyperlink>
        </w:p>
        <w:p w14:paraId="00000018" w14:textId="2F7051F0" w:rsidR="00C80114" w:rsidRDefault="00000000" w:rsidP="00810EFC">
          <w:pPr>
            <w:spacing w:line="360" w:lineRule="auto"/>
          </w:pPr>
          <w:r>
            <w:fldChar w:fldCharType="end"/>
          </w:r>
        </w:p>
      </w:sdtContent>
    </w:sdt>
    <w:p w14:paraId="00000019" w14:textId="77777777" w:rsidR="00C80114" w:rsidRDefault="00000000">
      <w:pPr>
        <w:rPr>
          <w:b/>
          <w:bCs/>
          <w:sz w:val="28"/>
          <w:szCs w:val="28"/>
        </w:rPr>
      </w:pPr>
      <w:r>
        <w:br w:type="page"/>
      </w:r>
    </w:p>
    <w:p w14:paraId="0000001A" w14:textId="77777777" w:rsidR="00C80114" w:rsidRDefault="00000000">
      <w:pPr>
        <w:pStyle w:val="Heading1"/>
      </w:pPr>
      <w:bookmarkStart w:id="1" w:name="_Toc240127706"/>
      <w:r>
        <w:lastRenderedPageBreak/>
        <w:t>1. Introduction</w:t>
      </w:r>
      <w:bookmarkEnd w:id="1"/>
    </w:p>
    <w:p w14:paraId="0000001B" w14:textId="2FC6BDE2" w:rsidR="00C80114" w:rsidRDefault="00000000">
      <w:pPr>
        <w:spacing w:line="360" w:lineRule="auto"/>
        <w:rPr>
          <w:color w:val="CC0000"/>
        </w:rPr>
      </w:pPr>
      <w:r>
        <w:rPr>
          <w:color w:val="CC0000"/>
          <w:highlight w:val="white"/>
        </w:rPr>
        <w:t>The Bosnian War of 1992-1995 emerged from the violent disintegration of the socialist Yugoslavia and, with the death of the Cold War, was a major European conflict. Since the independence of Bosnia and Herzegovina in 1992, extensive violations of international humanitarian law, the deaths of civilians, and displacement have occurred owing to the fighting between the Bosniak, Serbian, and Croat forces.</w:t>
      </w:r>
      <w:r w:rsidR="00810EFC">
        <w:rPr>
          <w:rStyle w:val="FootnoteReference"/>
          <w:color w:val="CC0000"/>
          <w:highlight w:val="white"/>
        </w:rPr>
        <w:footnoteReference w:id="1"/>
      </w:r>
      <w:r>
        <w:rPr>
          <w:color w:val="CC0000"/>
          <w:highlight w:val="white"/>
        </w:rPr>
        <w:t xml:space="preserve"> The United Nations, NATO, the United States, and European nations and international legal bodies all played a role in the conflict. Attitudes towards the international response shifted significantly during the war. It also focused on diplomatic efforts, humanitarian assistance, sanctions, and UN peacekeeping, but with limited mandates and political differences. These weaknesses were revealed by the inability of the international community to safeguard the UN-declared safe zones, most notably Srebrenica, in July 1995. The arrival of NATO military action and more forceful US-led diplomacy later that year caused more pressure to be applied to the parties, and negotiations began, which would culminate in the Dayton Peace Agreement.</w:t>
      </w:r>
      <w:r w:rsidR="00810EFC">
        <w:rPr>
          <w:rStyle w:val="FootnoteReference"/>
          <w:color w:val="CC0000"/>
          <w:highlight w:val="white"/>
        </w:rPr>
        <w:footnoteReference w:id="2"/>
      </w:r>
      <w:r>
        <w:rPr>
          <w:color w:val="CC0000"/>
          <w:highlight w:val="white"/>
        </w:rPr>
        <w:t xml:space="preserve"> This essay contends that international intervention was more effective if it was backed by the credibility of military responses, as well as diplomacy and humanitarian efforts, and by enforcement after a war</w:t>
      </w:r>
      <w:r>
        <w:rPr>
          <w:color w:val="CC0000"/>
        </w:rPr>
        <w:t>.</w:t>
      </w:r>
    </w:p>
    <w:p w14:paraId="0000001C" w14:textId="77777777" w:rsidR="00C80114" w:rsidRDefault="00000000">
      <w:pPr>
        <w:pStyle w:val="Heading1"/>
        <w:rPr>
          <w:b w:val="0"/>
          <w:bCs w:val="0"/>
          <w:sz w:val="24"/>
          <w:szCs w:val="24"/>
        </w:rPr>
      </w:pPr>
      <w:bookmarkStart w:id="2" w:name="_Toc240127707"/>
      <w:r>
        <w:t>2. Yugoslavia from the 1960s to the Bosnian War</w:t>
      </w:r>
      <w:bookmarkEnd w:id="2"/>
    </w:p>
    <w:p w14:paraId="0000001D" w14:textId="69DCCFA0" w:rsidR="00C80114" w:rsidRDefault="00000000">
      <w:pPr>
        <w:spacing w:line="360" w:lineRule="auto"/>
        <w:rPr>
          <w:b/>
          <w:bCs/>
          <w:color w:val="CC0000"/>
        </w:rPr>
      </w:pPr>
      <w:r>
        <w:rPr>
          <w:color w:val="CC0000"/>
          <w:highlight w:val="white"/>
        </w:rPr>
        <w:t>This Bosnian imbroglio had a deep connection with the political and constitutional developments in socialist Yugoslavia. In the 1960s, economic and political changes began to heighten the powers of the constituent republics and led to new discussions about the distribution of federal and republican powers. This was further extended through the Yugoslav Constitution of 1974 when the political status of the republics and autonomous provinces was reinforced, and the influence of the federal centre was diminished. An important turning point was also Josip Broz Tito's death in 1980.</w:t>
      </w:r>
      <w:r w:rsidR="00810EFC">
        <w:rPr>
          <w:rStyle w:val="FootnoteReference"/>
          <w:color w:val="CC0000"/>
          <w:highlight w:val="white"/>
        </w:rPr>
        <w:footnoteReference w:id="3"/>
      </w:r>
      <w:r>
        <w:rPr>
          <w:color w:val="CC0000"/>
          <w:highlight w:val="white"/>
        </w:rPr>
        <w:t xml:space="preserve"> Tito himself had been at the heart of working out the compromises between all of these politics and interests, maintaining order and stability in the federation. Following his death, there was increased economic turmoil, rising unemployment, and disagreement regarding the distribution of resources in Yugoslavia. These pressures helped bring about a greater degree of </w:t>
      </w:r>
      <w:r>
        <w:rPr>
          <w:color w:val="CC0000"/>
          <w:highlight w:val="white"/>
        </w:rPr>
        <w:lastRenderedPageBreak/>
        <w:t>political fragmentation and cemented a nationalist movement in a number of republics during the 1980s. It has further worsened since the start of the 1990s. In 1991, Slovenia and Croatia declared independence, and in 1992, Bosnia and Herzegovina did as well. The republic was easily susceptible to conflict due to its ethnically diverse population and various political agendas of the Bosniaks, Bosnian Serbs, and Bosnian Croats in the Republic of Bosnia and Herzegovina. The war that ensued, as such, was a result of the confluence of constitutional decentralisation, economic woes, faltering government, and emerging nationalist fervour more than any single event</w:t>
      </w:r>
      <w:r>
        <w:rPr>
          <w:color w:val="CC0000"/>
        </w:rPr>
        <w:t>.</w:t>
      </w:r>
    </w:p>
    <w:p w14:paraId="0000001E" w14:textId="77777777" w:rsidR="00C80114" w:rsidRDefault="00000000">
      <w:pPr>
        <w:pStyle w:val="Heading1"/>
        <w:rPr>
          <w:b w:val="0"/>
          <w:bCs w:val="0"/>
          <w:sz w:val="24"/>
          <w:szCs w:val="24"/>
        </w:rPr>
      </w:pPr>
      <w:bookmarkStart w:id="3" w:name="_Toc240127708"/>
      <w:r>
        <w:t>3. The Early International Response, 1992–1993</w:t>
      </w:r>
      <w:bookmarkEnd w:id="3"/>
    </w:p>
    <w:p w14:paraId="0000001F" w14:textId="63931FA0" w:rsidR="00C80114" w:rsidRDefault="00000000">
      <w:pPr>
        <w:spacing w:line="360" w:lineRule="auto"/>
        <w:rPr>
          <w:b/>
          <w:bCs/>
          <w:color w:val="CC0000"/>
        </w:rPr>
      </w:pPr>
      <w:r>
        <w:rPr>
          <w:color w:val="CC0000"/>
          <w:highlight w:val="white"/>
        </w:rPr>
        <w:t>During the initial two years of the Bosnian war, the world's reaction focused on a diplomatic and humanitarian response rather than a military response. This led to the involvement of the United Nations as the main international organization and to efforts at political settlements by European governments. These were initial steps, with the concern that increased military action would further escalate an already complex conflict. UNPROFOR was a focal point of international action. It was tasked with providing humanitarian aid as well as helping to deliver aid and make a contribution to the security situation in affected places.</w:t>
      </w:r>
      <w:r w:rsidR="00810EFC">
        <w:rPr>
          <w:rStyle w:val="FootnoteReference"/>
          <w:color w:val="CC0000"/>
          <w:highlight w:val="white"/>
        </w:rPr>
        <w:footnoteReference w:id="4"/>
      </w:r>
      <w:r>
        <w:rPr>
          <w:color w:val="CC0000"/>
          <w:highlight w:val="white"/>
        </w:rPr>
        <w:t xml:space="preserve"> There were many constraints in the mission's running. Its mandate was also reliant on the cooperation of the warring parties, limitations in personnel and equipment also curtailed its effectiveness in protecting civilians. The consequence was an increasing disconnect between what was promised and what was feasible by the peacekeepers. This weakness was clearly evident in the policy of the designated “safe areas.” In April 1993, United Nations Security Council Resolution 819 designated Srebrenica and its region a safe zone and banned any use of armed force. Further, the resolution requested the provision of humanitarian assistance and increased UNPROFOR participation. Designating it did not ensure protection since it did not automatically provide adequate military resources. It was a response that was international but limited in its effectiveness.</w:t>
      </w:r>
      <w:r w:rsidR="00810EFC">
        <w:rPr>
          <w:rStyle w:val="FootnoteReference"/>
          <w:color w:val="CC0000"/>
          <w:highlight w:val="white"/>
        </w:rPr>
        <w:footnoteReference w:id="5"/>
      </w:r>
      <w:r>
        <w:rPr>
          <w:color w:val="CC0000"/>
          <w:highlight w:val="white"/>
        </w:rPr>
        <w:t xml:space="preserve"> Humanitarian aid helped to alleviate the suffering of civilians and help keep the conflict on the world stage, peacekeeping had no enforcement powers to deter or ensure compliance with the illegal acts of the combatants. Such constraints during 1992-1993 would also eventually prove to be key to the international protection failure at Srebrenica</w:t>
      </w:r>
      <w:r>
        <w:rPr>
          <w:color w:val="CC0000"/>
        </w:rPr>
        <w:t>.</w:t>
      </w:r>
    </w:p>
    <w:p w14:paraId="00000020" w14:textId="77777777" w:rsidR="00C80114" w:rsidRDefault="00000000">
      <w:pPr>
        <w:pStyle w:val="Heading1"/>
        <w:rPr>
          <w:b w:val="0"/>
          <w:bCs w:val="0"/>
          <w:sz w:val="24"/>
          <w:szCs w:val="24"/>
        </w:rPr>
      </w:pPr>
      <w:bookmarkStart w:id="4" w:name="_Toc240127709"/>
      <w:r>
        <w:lastRenderedPageBreak/>
        <w:t>4. Srebrenica and the Failure of International Protection</w:t>
      </w:r>
      <w:bookmarkEnd w:id="4"/>
    </w:p>
    <w:p w14:paraId="00000021" w14:textId="5609A0D1" w:rsidR="00C80114" w:rsidRDefault="00000000">
      <w:pPr>
        <w:spacing w:line="360" w:lineRule="auto"/>
        <w:rPr>
          <w:b/>
          <w:bCs/>
          <w:color w:val="CC0000"/>
        </w:rPr>
      </w:pPr>
      <w:r>
        <w:rPr>
          <w:color w:val="CC0000"/>
          <w:highlight w:val="white"/>
        </w:rPr>
        <w:t>Indeed, Srebrenica has been the most blatant illustration of the limitations to the international community's initial response on civilian protection. On 8th April 1993, the United Nations Security Council Resolution 819 was adopted, which established Srebrenica and its surrounding area as a “safe area” exempt from armed attack.</w:t>
      </w:r>
      <w:r w:rsidR="00810EFC">
        <w:rPr>
          <w:rStyle w:val="FootnoteReference"/>
          <w:color w:val="CC0000"/>
          <w:highlight w:val="white"/>
        </w:rPr>
        <w:footnoteReference w:id="6"/>
      </w:r>
      <w:r>
        <w:rPr>
          <w:color w:val="CC0000"/>
          <w:highlight w:val="white"/>
        </w:rPr>
        <w:t xml:space="preserve"> This designation led to the creation of an expectation that civilians would receive protection from the international community while inside the enclave. But military force was not yet up to the task of ensuring the safety of this area. UNPROFOR faced a complex political and military situation and, even under these circumstances, relied on an ongoing and insufficient mandate as well as cooperation from the conflicting parties. The process of authorisation of NATO air support also caused difficulties in response. Both NATO and the United Nations worked under a “dual-key” system, which meant that they had to agree to military action. This led to a delay and illustrated the political limitations with respect to force.</w:t>
      </w:r>
      <w:r w:rsidR="00810EFC">
        <w:rPr>
          <w:rStyle w:val="FootnoteReference"/>
          <w:color w:val="CC0000"/>
          <w:highlight w:val="white"/>
        </w:rPr>
        <w:footnoteReference w:id="7"/>
      </w:r>
      <w:r>
        <w:rPr>
          <w:color w:val="CC0000"/>
          <w:highlight w:val="white"/>
        </w:rPr>
        <w:t xml:space="preserve"> These restrictions proved significant when Bosnian Serb troops captured Srebrenica in July 1995. The violence against civilians, despite being </w:t>
      </w:r>
      <w:proofErr w:type="gramStart"/>
      <w:r>
        <w:rPr>
          <w:color w:val="CC0000"/>
          <w:highlight w:val="white"/>
        </w:rPr>
        <w:t>a</w:t>
      </w:r>
      <w:proofErr w:type="gramEnd"/>
      <w:r>
        <w:rPr>
          <w:color w:val="CC0000"/>
          <w:highlight w:val="white"/>
        </w:rPr>
        <w:t xml:space="preserve"> UN-designated safe area, went unchecked by international forces. The failure revealed "that there was also a huge disconnect between the intent of the promises of the Security Council resolutions and the means to enforce them". As such, the story of Srebrenica constituted a key turning point in the evaluations of international intervention. It showed that protected area designation alone is not enough, it requires convincing military forces and assertive command to defend protected areas. The crisis strengthened arguments for a more decisive international response, and closer co-operation between NATO and the United Nations</w:t>
      </w:r>
      <w:r>
        <w:rPr>
          <w:color w:val="CC0000"/>
        </w:rPr>
        <w:t>.</w:t>
      </w:r>
    </w:p>
    <w:p w14:paraId="00000022" w14:textId="77777777" w:rsidR="00C80114" w:rsidRDefault="00000000">
      <w:pPr>
        <w:pStyle w:val="Heading1"/>
        <w:spacing w:before="240" w:after="240"/>
      </w:pPr>
      <w:bookmarkStart w:id="5" w:name="_Toc240127710"/>
      <w:r>
        <w:t>5. NATO and the Shift towards Military Intervention</w:t>
      </w:r>
      <w:bookmarkEnd w:id="5"/>
    </w:p>
    <w:p w14:paraId="00000023" w14:textId="3F96C78F" w:rsidR="00C80114" w:rsidRDefault="00000000">
      <w:pPr>
        <w:spacing w:before="240" w:after="240" w:line="360" w:lineRule="auto"/>
        <w:rPr>
          <w:color w:val="CC0000"/>
        </w:rPr>
      </w:pPr>
      <w:r>
        <w:rPr>
          <w:color w:val="CC0000"/>
          <w:highlight w:val="white"/>
        </w:rPr>
        <w:t>NATO was playing an increasingly significant role in the international response to the Bosnian War by 1994–1995. Initially, it endorsed the United Nations' actions, including the enforcement of the no-fly zone over the country of Bosnia and Herzegovina. NATO's first combat operation was carried out in February, 1994, when four Bosnian Serb aircraft were shot down for violating the no-fly zone.</w:t>
      </w:r>
      <w:r w:rsidR="00810EFC">
        <w:rPr>
          <w:rStyle w:val="FootnoteReference"/>
          <w:color w:val="CC0000"/>
          <w:highlight w:val="white"/>
        </w:rPr>
        <w:footnoteReference w:id="8"/>
      </w:r>
      <w:r>
        <w:rPr>
          <w:color w:val="CC0000"/>
          <w:highlight w:val="white"/>
        </w:rPr>
        <w:t xml:space="preserve"> But more tellingly was Operation Deliberate Force, which took place in August-September 1995. After ongoing attacks on the protected areas of Sarajevo, NATO launched air </w:t>
      </w:r>
      <w:r>
        <w:rPr>
          <w:color w:val="CC0000"/>
          <w:highlight w:val="white"/>
        </w:rPr>
        <w:lastRenderedPageBreak/>
        <w:t>strikes against Bosnian Serb military targets. The campaign was supposed to push Bosnian Serb troops to meet UN demands, such as curbing their use of heavy weapons and allowing passage for UN troops and aid groups. Ultimately, Operation Deliberate Force represented a significant shift from the previous efforts to limit the situation with diplomacy and peacekeeping.</w:t>
      </w:r>
      <w:r w:rsidR="00810EFC">
        <w:rPr>
          <w:rStyle w:val="FootnoteReference"/>
          <w:color w:val="CC0000"/>
          <w:highlight w:val="white"/>
        </w:rPr>
        <w:footnoteReference w:id="9"/>
      </w:r>
      <w:r>
        <w:rPr>
          <w:color w:val="CC0000"/>
          <w:highlight w:val="white"/>
        </w:rPr>
        <w:t xml:space="preserve"> Military pressure caused shifting battlefield conditions, as well as improved diplomacy, putting pressure on the Bosnian Serb leadership, which allowed for the possibility of negotiations later in 1995</w:t>
      </w:r>
      <w:r>
        <w:rPr>
          <w:color w:val="CC0000"/>
        </w:rPr>
        <w:t>.</w:t>
      </w:r>
    </w:p>
    <w:p w14:paraId="00000024" w14:textId="77777777" w:rsidR="00C80114" w:rsidRDefault="00000000">
      <w:pPr>
        <w:pStyle w:val="Heading1"/>
        <w:spacing w:before="240" w:after="240"/>
        <w:rPr>
          <w:b w:val="0"/>
          <w:bCs w:val="0"/>
          <w:sz w:val="24"/>
          <w:szCs w:val="24"/>
        </w:rPr>
      </w:pPr>
      <w:bookmarkStart w:id="6" w:name="_Toc240127711"/>
      <w:r>
        <w:t>6. Diplomacy and the Dayton Peace Agreement</w:t>
      </w:r>
      <w:bookmarkEnd w:id="6"/>
    </w:p>
    <w:p w14:paraId="00000025" w14:textId="52516415" w:rsidR="00C80114" w:rsidRDefault="00000000">
      <w:pPr>
        <w:spacing w:line="360" w:lineRule="auto"/>
        <w:rPr>
          <w:b/>
          <w:bCs/>
          <w:color w:val="CC0000"/>
        </w:rPr>
      </w:pPr>
      <w:r>
        <w:rPr>
          <w:color w:val="CC0000"/>
          <w:highlight w:val="white"/>
        </w:rPr>
        <w:t xml:space="preserve">Diplomacy was always vital and would be needed to bring an end to the Bosnian War since military force alone would have been insufficient. As Bosnian, Croat, and Serbian representatives were integrated into a more formal peace process, the United States-led negotiations took on a greater role in 1995. These efforts led to the Dayton negotiations, where an agreement was </w:t>
      </w:r>
      <w:proofErr w:type="spellStart"/>
      <w:r>
        <w:rPr>
          <w:color w:val="CC0000"/>
          <w:highlight w:val="white"/>
        </w:rPr>
        <w:t>initialed</w:t>
      </w:r>
      <w:proofErr w:type="spellEnd"/>
      <w:r>
        <w:rPr>
          <w:color w:val="CC0000"/>
          <w:highlight w:val="white"/>
        </w:rPr>
        <w:t xml:space="preserve"> in November 1995. Those components of the Dayton Peace Agreement included a political settlement but also a means of international enforcement.</w:t>
      </w:r>
      <w:r w:rsidR="00810EFC">
        <w:rPr>
          <w:rStyle w:val="FootnoteReference"/>
          <w:color w:val="CC0000"/>
          <w:highlight w:val="white"/>
        </w:rPr>
        <w:footnoteReference w:id="10"/>
      </w:r>
      <w:r>
        <w:rPr>
          <w:color w:val="CC0000"/>
          <w:highlight w:val="white"/>
        </w:rPr>
        <w:t xml:space="preserve"> It imposed responsibilities on all of the parties and called for military execution of the agreement to be monitored by a multinational armed force called IFOR. In December 1995, NATO started deploying IFOR. Dayton thus provided a more generalised international intervention than previous peacekeeping. It was able to largely succeed, because of the mixture of diplomacy, military influence and post-war enforcement</w:t>
      </w:r>
      <w:r>
        <w:rPr>
          <w:color w:val="CC0000"/>
        </w:rPr>
        <w:t>.</w:t>
      </w:r>
    </w:p>
    <w:p w14:paraId="00000026" w14:textId="77777777" w:rsidR="00C80114" w:rsidRDefault="00000000">
      <w:pPr>
        <w:pStyle w:val="Heading1"/>
        <w:spacing w:before="240" w:after="240"/>
        <w:rPr>
          <w:b w:val="0"/>
          <w:bCs w:val="0"/>
          <w:sz w:val="24"/>
          <w:szCs w:val="24"/>
        </w:rPr>
      </w:pPr>
      <w:bookmarkStart w:id="7" w:name="_Toc240127712"/>
      <w:r>
        <w:t>7. International Criminal Justice</w:t>
      </w:r>
      <w:bookmarkEnd w:id="7"/>
    </w:p>
    <w:p w14:paraId="00000027" w14:textId="029750DF" w:rsidR="00C80114" w:rsidRDefault="00000000">
      <w:pPr>
        <w:spacing w:line="360" w:lineRule="auto"/>
        <w:rPr>
          <w:b/>
          <w:bCs/>
          <w:color w:val="CC0000"/>
        </w:rPr>
      </w:pPr>
      <w:r>
        <w:rPr>
          <w:color w:val="CC0000"/>
          <w:highlight w:val="white"/>
        </w:rPr>
        <w:t>International participation in the Bosnian War covered not only diplomatic action, humanitarian aid and military action, but also international criminal justice. In 1993, the United Nations created an International Criminal Tribunal for the former Yugoslavia (ICTY) to prosecute people responsible for the gravest offences against international humanitarian law in the former Yugoslavia conflicts. It was important because it meant that, for the first time, the fights ongoing in the aftermath of a war were no longer solely about stopping the fighting but also about putting individuals on trial for crimes committed during a conflict.</w:t>
      </w:r>
      <w:r w:rsidR="00810EFC">
        <w:rPr>
          <w:rStyle w:val="FootnoteReference"/>
          <w:color w:val="CC0000"/>
          <w:highlight w:val="white"/>
        </w:rPr>
        <w:footnoteReference w:id="11"/>
      </w:r>
      <w:r>
        <w:rPr>
          <w:color w:val="CC0000"/>
          <w:highlight w:val="white"/>
        </w:rPr>
        <w:t xml:space="preserve"> The ICTY's role was to help contribute to the international response by investigating alleged atrocities, and to gather evidence </w:t>
      </w:r>
      <w:r>
        <w:rPr>
          <w:color w:val="CC0000"/>
          <w:highlight w:val="white"/>
        </w:rPr>
        <w:lastRenderedPageBreak/>
        <w:t>and prosecute individuals, but not to accuse whole ethnic or national groups. This separation was important because it generally held the Responsibility for war crimes to fall on Identifiable Individuals who shall be investigated through Law and Trial processes. This also marked the internationalisation of the Bosnian conflict by highlighting it as a matter of international law as well as international security.</w:t>
      </w:r>
      <w:r w:rsidR="00810EFC">
        <w:rPr>
          <w:rStyle w:val="FootnoteReference"/>
          <w:color w:val="CC0000"/>
          <w:highlight w:val="white"/>
        </w:rPr>
        <w:footnoteReference w:id="12"/>
      </w:r>
      <w:r>
        <w:rPr>
          <w:color w:val="CC0000"/>
          <w:highlight w:val="white"/>
        </w:rPr>
        <w:t xml:space="preserve"> Even if criminal justice failed to halt the violence, the ICTY’s workaround was to have in place a structure in which the most egregious violations during the war could be recorded and brought to trial. International criminal justice thus entered the long-term fabric of the international community's response to the crisis, alongside diplomatic, humanitarian, and military actions</w:t>
      </w:r>
      <w:r>
        <w:rPr>
          <w:color w:val="CC0000"/>
        </w:rPr>
        <w:t>.</w:t>
      </w:r>
    </w:p>
    <w:p w14:paraId="00000028" w14:textId="77777777" w:rsidR="00C80114" w:rsidRDefault="00000000">
      <w:pPr>
        <w:pStyle w:val="Heading1"/>
        <w:spacing w:before="240" w:after="240"/>
        <w:rPr>
          <w:b w:val="0"/>
          <w:bCs w:val="0"/>
          <w:sz w:val="24"/>
          <w:szCs w:val="24"/>
        </w:rPr>
      </w:pPr>
      <w:bookmarkStart w:id="8" w:name="_Toc240127713"/>
      <w:r>
        <w:t>8. Overall Evaluation</w:t>
      </w:r>
      <w:bookmarkEnd w:id="8"/>
    </w:p>
    <w:p w14:paraId="00000029" w14:textId="74D163D0" w:rsidR="00C80114" w:rsidRDefault="00000000">
      <w:pPr>
        <w:spacing w:line="360" w:lineRule="auto"/>
        <w:rPr>
          <w:b/>
          <w:bCs/>
          <w:color w:val="CC0000"/>
        </w:rPr>
      </w:pPr>
      <w:r>
        <w:rPr>
          <w:color w:val="CC0000"/>
          <w:highlight w:val="white"/>
        </w:rPr>
        <w:t xml:space="preserve">Weakness in the Bosnian War's initial peacekeeping mandates and inadequate enforcement of them limited the international response. Humanitarian assistance and diplomacy contributed to the protection and support of civilians but it did not prove to be an effective means of protection, as illustrated in the case of Srebrenica. Pressure on the parties proved to be greater in 1995 as NATO military action, enhanced UN coordination and US-controlled diplomacy put pressure on them. </w:t>
      </w:r>
      <w:r w:rsidR="00810EFC">
        <w:rPr>
          <w:rStyle w:val="FootnoteReference"/>
          <w:color w:val="CC0000"/>
          <w:highlight w:val="white"/>
        </w:rPr>
        <w:footnoteReference w:id="13"/>
      </w:r>
      <w:r>
        <w:rPr>
          <w:color w:val="CC0000"/>
          <w:highlight w:val="white"/>
        </w:rPr>
        <w:t>These measures helped to establish the context for the Dayton Peace Agreement. The overall lesson from the war was that military pressure (backed by credible force), clear enforcement mechanisms and diplomatic and Humanitarian support were more effective</w:t>
      </w:r>
      <w:r>
        <w:rPr>
          <w:color w:val="CC0000"/>
        </w:rPr>
        <w:t>.</w:t>
      </w:r>
    </w:p>
    <w:p w14:paraId="0000002A" w14:textId="77777777" w:rsidR="00C80114" w:rsidRDefault="00000000">
      <w:pPr>
        <w:pStyle w:val="Heading1"/>
        <w:spacing w:before="240" w:after="240"/>
      </w:pPr>
      <w:bookmarkStart w:id="9" w:name="_Toc240127714"/>
      <w:r>
        <w:t>9. Conclusion</w:t>
      </w:r>
      <w:bookmarkEnd w:id="9"/>
    </w:p>
    <w:p w14:paraId="0000002B" w14:textId="4D244C8B" w:rsidR="00C80114" w:rsidRDefault="00000000">
      <w:pPr>
        <w:spacing w:line="360" w:lineRule="auto"/>
      </w:pPr>
      <w:bookmarkStart w:id="10" w:name="_ozqa9odqa9x1" w:colFirst="0" w:colLast="0"/>
      <w:bookmarkEnd w:id="10"/>
      <w:r>
        <w:rPr>
          <w:color w:val="CC0000"/>
          <w:highlight w:val="white"/>
        </w:rPr>
        <w:t>Reaction from the international community to the Bosnian War evolved from a cautious diplomacy and humanitarian aid and limited UN peacekeeping to a more aggressive approach of a military and diplomatic one. The safe-area policy was particularly demonstrated to be weak in the case of Srebrenica, though some early measures did help some civilians.</w:t>
      </w:r>
      <w:r w:rsidR="00810EFC">
        <w:rPr>
          <w:rStyle w:val="FootnoteReference"/>
          <w:color w:val="CC0000"/>
          <w:highlight w:val="white"/>
        </w:rPr>
        <w:footnoteReference w:id="14"/>
      </w:r>
      <w:r>
        <w:rPr>
          <w:color w:val="CC0000"/>
          <w:highlight w:val="white"/>
        </w:rPr>
        <w:t xml:space="preserve"> NATO intervention and the greater US-led diplomacy in 1995 added to the pressure on those involved and facilitated the creation of the Dayton Peace Agreement. Hence, the Bosnian experience showed that international </w:t>
      </w:r>
      <w:r>
        <w:rPr>
          <w:color w:val="CC0000"/>
          <w:highlight w:val="white"/>
        </w:rPr>
        <w:lastRenderedPageBreak/>
        <w:t>action diplomacy and human rights could only be effective if backed up by credible force, force and peace-implementing mechanisms</w:t>
      </w:r>
      <w:r>
        <w:rPr>
          <w:color w:val="CC0000"/>
        </w:rPr>
        <w:t>.</w:t>
      </w:r>
      <w:r>
        <w:br w:type="page"/>
      </w:r>
    </w:p>
    <w:p w14:paraId="0000002C" w14:textId="77777777" w:rsidR="00C80114" w:rsidRDefault="00000000">
      <w:pPr>
        <w:pStyle w:val="Heading1"/>
        <w:spacing w:before="240" w:after="240"/>
      </w:pPr>
      <w:bookmarkStart w:id="11" w:name="_Toc240127715"/>
      <w:r>
        <w:lastRenderedPageBreak/>
        <w:t>Bibliography</w:t>
      </w:r>
      <w:bookmarkEnd w:id="11"/>
      <w:r>
        <w:t xml:space="preserve"> </w:t>
      </w:r>
    </w:p>
    <w:p w14:paraId="0000002D" w14:textId="77777777" w:rsidR="00C80114" w:rsidRDefault="00000000">
      <w:pPr>
        <w:spacing w:line="360" w:lineRule="auto"/>
      </w:pPr>
      <w:r>
        <w:t>Bećirović, Zijad. "25 Years After the Dayton Peace Agreement–Way Ahead." International scientific journal European Perspectives 11, no. 19 (2020): 143-170.</w:t>
      </w:r>
      <w:hyperlink r:id="rId7" w:anchor="page=143">
        <w:r>
          <w:rPr>
            <w:color w:val="1155CC"/>
            <w:u w:val="single"/>
          </w:rPr>
          <w:t>https://www.europeanperspectives.org/storage/123/Latest.pdf#page=143</w:t>
        </w:r>
      </w:hyperlink>
    </w:p>
    <w:p w14:paraId="0000002E" w14:textId="77777777" w:rsidR="00C80114" w:rsidRDefault="00000000">
      <w:pPr>
        <w:spacing w:line="360" w:lineRule="auto"/>
      </w:pPr>
      <w:proofErr w:type="spellStart"/>
      <w:r>
        <w:t>Calic</w:t>
      </w:r>
      <w:proofErr w:type="spellEnd"/>
      <w:r>
        <w:t>, Marie-Janine. A history of Yugoslavia. Purdue University Press, 2019.</w:t>
      </w:r>
      <w:hyperlink r:id="rId8">
        <w:r>
          <w:rPr>
            <w:color w:val="1155CC"/>
            <w:u w:val="single"/>
          </w:rPr>
          <w:t>https://docs.lib.purdue.edu/cgi/viewcontent.cgi?article=1023&amp;context=purduepress_previews</w:t>
        </w:r>
      </w:hyperlink>
    </w:p>
    <w:p w14:paraId="0000002F" w14:textId="77777777" w:rsidR="00C80114" w:rsidRDefault="00000000">
      <w:pPr>
        <w:spacing w:line="360" w:lineRule="auto"/>
      </w:pPr>
      <w:r>
        <w:t>Dimitrijevic, Vojin. "The 1974 Constitution as a Factor in the Collapse of Yugoslavia or as a Sign of Decaying Totalitarianism." (1994).</w:t>
      </w:r>
      <w:hyperlink r:id="rId9">
        <w:r>
          <w:rPr>
            <w:color w:val="1155CC"/>
            <w:u w:val="single"/>
          </w:rPr>
          <w:t>https://cadmus.eui.eu/bitstreams/a8b0a65e-6cc1-544c-a90e-a6971e0a9398/download</w:t>
        </w:r>
      </w:hyperlink>
    </w:p>
    <w:p w14:paraId="00000030" w14:textId="77777777" w:rsidR="00C80114" w:rsidRDefault="00000000">
      <w:pPr>
        <w:spacing w:line="360" w:lineRule="auto"/>
      </w:pPr>
      <w:r>
        <w:t>Finlan, Alastair. The collapse of Yugoslavia: 1991–99. Bloomsbury Publishing, 2022.</w:t>
      </w:r>
      <w:hyperlink r:id="rId10">
        <w:r>
          <w:rPr>
            <w:color w:val="1155CC"/>
            <w:u w:val="single"/>
          </w:rPr>
          <w:t>https://www.amas.hk/pdf/lishishenxue/1/The%20Collapse%20of%20Yugoslavia%201991-1999%20(Alastair%20Finlan)%20(z-lib.org).pdf</w:t>
        </w:r>
      </w:hyperlink>
    </w:p>
    <w:p w14:paraId="00000031" w14:textId="77777777" w:rsidR="00C80114" w:rsidRDefault="00000000">
      <w:pPr>
        <w:spacing w:line="360" w:lineRule="auto"/>
      </w:pPr>
      <w:r>
        <w:t>Freudenschuss, Helmut. "Between Unilateralism and Collective Security: Authorizations of the Use of Force by the UN Security Council." Eur. J. Int'l L. 5 (1994): 492.</w:t>
      </w:r>
      <w:hyperlink r:id="rId11">
        <w:r>
          <w:rPr>
            <w:color w:val="1155CC"/>
            <w:u w:val="single"/>
          </w:rPr>
          <w:t>https://www.ejil.org/pdfs/5/1/1264.pdf</w:t>
        </w:r>
      </w:hyperlink>
    </w:p>
    <w:p w14:paraId="00000032" w14:textId="77777777" w:rsidR="00C80114" w:rsidRDefault="00000000">
      <w:pPr>
        <w:spacing w:line="360" w:lineRule="auto"/>
      </w:pPr>
      <w:r>
        <w:t xml:space="preserve">Harsch, Michael F. NATO and the UN: Partnership with </w:t>
      </w:r>
      <w:proofErr w:type="gramStart"/>
      <w:r>
        <w:t>Potential?.</w:t>
      </w:r>
      <w:proofErr w:type="gramEnd"/>
      <w:r>
        <w:t xml:space="preserve"> No. RP 2/2012. SWP Research Paper, 2012.</w:t>
      </w:r>
      <w:hyperlink r:id="rId12">
        <w:r>
          <w:rPr>
            <w:color w:val="1155CC"/>
            <w:u w:val="single"/>
          </w:rPr>
          <w:t>https://michaelharsch.org/wp-content/uploads/2018/11/Harsch-Maksimov-ICs-and-Public-Opinion.pdf</w:t>
        </w:r>
      </w:hyperlink>
    </w:p>
    <w:p w14:paraId="00000033" w14:textId="77777777" w:rsidR="00C80114" w:rsidRDefault="00000000">
      <w:pPr>
        <w:spacing w:line="360" w:lineRule="auto"/>
      </w:pPr>
      <w:r>
        <w:t>Pardew, James, and Christopher Bennett. "NATO’s evolving operations." NATO Review Spring (2006).</w:t>
      </w:r>
      <w:hyperlink r:id="rId13">
        <w:r>
          <w:rPr>
            <w:color w:val="1155CC"/>
            <w:u w:val="single"/>
          </w:rPr>
          <w:t>https://archives.nato.int/uploads/r/nato-archives-online/a/3/b/a3bc3ad2984aea4fbdf7b7cf056eaad644b7273f8db9f037649d949761300d9a/2006-03-01_NATO_s_evolving_operations_ENG.pdf</w:t>
        </w:r>
      </w:hyperlink>
    </w:p>
    <w:p w14:paraId="00000034" w14:textId="77777777" w:rsidR="00C80114" w:rsidRDefault="00000000">
      <w:pPr>
        <w:spacing w:line="360" w:lineRule="auto"/>
      </w:pPr>
      <w:r>
        <w:t>Upadhyay, Santosh K. "THE ICTY’S CONTRIBUTION TO THE DEVELOPMENT OF PUBLIC INTERNATIONAL LAW." NATIONAL CAPITAL LAW JOURNAL 17 (2019): 93-104p.</w:t>
      </w:r>
      <w:hyperlink r:id="rId14">
        <w:r>
          <w:rPr>
            <w:color w:val="1155CC"/>
            <w:u w:val="single"/>
          </w:rPr>
          <w:t>https://dup.du.ac.in/index.php/NCLJ/article/download/229/166</w:t>
        </w:r>
      </w:hyperlink>
    </w:p>
    <w:p w14:paraId="00000035" w14:textId="77777777" w:rsidR="00C80114" w:rsidRDefault="00000000">
      <w:pPr>
        <w:spacing w:line="360" w:lineRule="auto"/>
      </w:pPr>
      <w:r>
        <w:t xml:space="preserve">Wentz, Larry, Richard L. Layton, James J. Landon, Andrew Bair, Michael J. Dziedzic, Pascale </w:t>
      </w:r>
      <w:proofErr w:type="spellStart"/>
      <w:r>
        <w:t>Combelles</w:t>
      </w:r>
      <w:proofErr w:type="spellEnd"/>
      <w:r>
        <w:t>-Siegel, Mark R. Jacobson, and Kenneth Allard. "Lessons from Bosnia: the IFOR experience." (1998).</w:t>
      </w:r>
      <w:hyperlink r:id="rId15">
        <w:r>
          <w:rPr>
            <w:color w:val="1155CC"/>
            <w:u w:val="single"/>
          </w:rPr>
          <w:t>http://dodccrp.org/events/12th_ICCRTS/CD/library/html/pdf/Wentz_Bosnia.pdf</w:t>
        </w:r>
      </w:hyperlink>
    </w:p>
    <w:sectPr w:rsidR="00C80114">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DD797" w14:textId="77777777" w:rsidR="000A0DCA" w:rsidRDefault="000A0DCA">
      <w:pPr>
        <w:spacing w:line="240" w:lineRule="auto"/>
      </w:pPr>
      <w:r>
        <w:separator/>
      </w:r>
    </w:p>
  </w:endnote>
  <w:endnote w:type="continuationSeparator" w:id="0">
    <w:p w14:paraId="3CA06855" w14:textId="77777777" w:rsidR="000A0DCA" w:rsidRDefault="000A0D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2E8F28E-3588-4F52-AC35-CD968296B244}"/>
  </w:font>
  <w:font w:name="Calibri">
    <w:panose1 w:val="020F0502020204030204"/>
    <w:charset w:val="00"/>
    <w:family w:val="swiss"/>
    <w:pitch w:val="variable"/>
    <w:sig w:usb0="E4002EFF" w:usb1="C200247B" w:usb2="00000009" w:usb3="00000000" w:csb0="000001FF" w:csb1="00000000"/>
    <w:embedRegular r:id="rId2" w:fontKey="{068F5E40-D164-4001-B211-37FA580EAF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A" w14:textId="77777777" w:rsidR="00C80114" w:rsidRDefault="00C80114">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2098944"/>
      <w:docPartObj>
        <w:docPartGallery w:val="Page Numbers (Bottom of Page)"/>
        <w:docPartUnique/>
      </w:docPartObj>
    </w:sdtPr>
    <w:sdtEndPr>
      <w:rPr>
        <w:noProof/>
      </w:rPr>
    </w:sdtEndPr>
    <w:sdtContent>
      <w:p w14:paraId="295CFBD1" w14:textId="6BA3117D" w:rsidR="00810EFC" w:rsidRDefault="00810EF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00003B" w14:textId="77777777" w:rsidR="00C80114" w:rsidRDefault="00C80114">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C" w14:textId="77777777" w:rsidR="00C80114" w:rsidRDefault="00C80114">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03AF1" w14:textId="77777777" w:rsidR="000A0DCA" w:rsidRDefault="000A0DCA">
      <w:pPr>
        <w:spacing w:line="240" w:lineRule="auto"/>
      </w:pPr>
      <w:r>
        <w:separator/>
      </w:r>
    </w:p>
  </w:footnote>
  <w:footnote w:type="continuationSeparator" w:id="0">
    <w:p w14:paraId="76A79DCE" w14:textId="77777777" w:rsidR="000A0DCA" w:rsidRDefault="000A0DCA">
      <w:pPr>
        <w:spacing w:line="240" w:lineRule="auto"/>
      </w:pPr>
      <w:r>
        <w:continuationSeparator/>
      </w:r>
    </w:p>
  </w:footnote>
  <w:footnote w:id="1">
    <w:p w14:paraId="5E1EB142" w14:textId="7B7417EC" w:rsidR="00810EFC" w:rsidRPr="00810EFC" w:rsidRDefault="00810EFC" w:rsidP="00810EFC">
      <w:pPr>
        <w:pStyle w:val="FootnoteText"/>
        <w:rPr>
          <w:lang w:val="en-IN"/>
        </w:rPr>
      </w:pPr>
      <w:r>
        <w:rPr>
          <w:rStyle w:val="FootnoteReference"/>
        </w:rPr>
        <w:footnoteRef/>
      </w:r>
      <w:r>
        <w:t xml:space="preserve"> </w:t>
      </w:r>
      <w:proofErr w:type="spellStart"/>
      <w:r w:rsidRPr="00810EFC">
        <w:rPr>
          <w:lang w:val="en-IN"/>
        </w:rPr>
        <w:t>Calic</w:t>
      </w:r>
      <w:proofErr w:type="spellEnd"/>
      <w:r w:rsidRPr="00810EFC">
        <w:rPr>
          <w:lang w:val="en-IN"/>
        </w:rPr>
        <w:t xml:space="preserve">, </w:t>
      </w:r>
      <w:r w:rsidRPr="00810EFC">
        <w:rPr>
          <w:i/>
          <w:iCs/>
          <w:lang w:val="en-IN"/>
        </w:rPr>
        <w:t>A History of Yugoslavia</w:t>
      </w:r>
      <w:r w:rsidRPr="00810EFC">
        <w:rPr>
          <w:lang w:val="en-IN"/>
        </w:rPr>
        <w:t xml:space="preserve">.   </w:t>
      </w:r>
    </w:p>
  </w:footnote>
  <w:footnote w:id="2">
    <w:p w14:paraId="766F5865" w14:textId="66EFCB97" w:rsidR="00810EFC" w:rsidRPr="00810EFC" w:rsidRDefault="00810EFC">
      <w:pPr>
        <w:pStyle w:val="FootnoteText"/>
        <w:rPr>
          <w:lang w:val="en-US"/>
        </w:rPr>
      </w:pPr>
      <w:r>
        <w:rPr>
          <w:rStyle w:val="FootnoteReference"/>
        </w:rPr>
        <w:footnoteRef/>
      </w:r>
      <w:r>
        <w:t xml:space="preserve"> </w:t>
      </w:r>
      <w:r w:rsidRPr="00810EFC">
        <w:t>Bećirović, “25 Years After the Dayton Peace Agreement,” 143–170.</w:t>
      </w:r>
    </w:p>
  </w:footnote>
  <w:footnote w:id="3">
    <w:p w14:paraId="57161772" w14:textId="078D80D6" w:rsidR="00810EFC" w:rsidRPr="00810EFC" w:rsidRDefault="00810EFC">
      <w:pPr>
        <w:pStyle w:val="FootnoteText"/>
        <w:rPr>
          <w:lang w:val="en-US"/>
        </w:rPr>
      </w:pPr>
      <w:r>
        <w:rPr>
          <w:rStyle w:val="FootnoteReference"/>
        </w:rPr>
        <w:footnoteRef/>
      </w:r>
      <w:r>
        <w:t xml:space="preserve"> </w:t>
      </w:r>
      <w:r w:rsidRPr="00810EFC">
        <w:t xml:space="preserve">Finlan, </w:t>
      </w:r>
      <w:r w:rsidRPr="00810EFC">
        <w:rPr>
          <w:i/>
          <w:iCs/>
        </w:rPr>
        <w:t>Collapse of Yugoslavia</w:t>
      </w:r>
      <w:r w:rsidRPr="00810EFC">
        <w:t>, 1991–99.</w:t>
      </w:r>
    </w:p>
  </w:footnote>
  <w:footnote w:id="4">
    <w:p w14:paraId="795E013E" w14:textId="095BFF27" w:rsidR="00810EFC" w:rsidRPr="00810EFC" w:rsidRDefault="00810EFC">
      <w:pPr>
        <w:pStyle w:val="FootnoteText"/>
        <w:rPr>
          <w:lang w:val="en-US"/>
        </w:rPr>
      </w:pPr>
      <w:r>
        <w:rPr>
          <w:rStyle w:val="FootnoteReference"/>
        </w:rPr>
        <w:footnoteRef/>
      </w:r>
      <w:r>
        <w:t xml:space="preserve"> </w:t>
      </w:r>
      <w:r w:rsidRPr="00810EFC">
        <w:t>Dimitrijevic, “1974 Constitution as a Factor in the Collapse of Yugoslavia.”</w:t>
      </w:r>
    </w:p>
  </w:footnote>
  <w:footnote w:id="5">
    <w:p w14:paraId="1E313370" w14:textId="2993DD8A" w:rsidR="00810EFC" w:rsidRPr="00810EFC" w:rsidRDefault="00810EFC">
      <w:pPr>
        <w:pStyle w:val="FootnoteText"/>
        <w:rPr>
          <w:lang w:val="en-US"/>
        </w:rPr>
      </w:pPr>
      <w:r>
        <w:rPr>
          <w:rStyle w:val="FootnoteReference"/>
        </w:rPr>
        <w:footnoteRef/>
      </w:r>
      <w:r>
        <w:t xml:space="preserve"> </w:t>
      </w:r>
      <w:r w:rsidRPr="00810EFC">
        <w:t>Freudenschuss, “Between Unilateralism and Collective Security,” 492.</w:t>
      </w:r>
    </w:p>
  </w:footnote>
  <w:footnote w:id="6">
    <w:p w14:paraId="3DFA3203" w14:textId="346DFAD9" w:rsidR="00810EFC" w:rsidRPr="00810EFC" w:rsidRDefault="00810EFC">
      <w:pPr>
        <w:pStyle w:val="FootnoteText"/>
        <w:rPr>
          <w:lang w:val="en-US"/>
        </w:rPr>
      </w:pPr>
      <w:r>
        <w:rPr>
          <w:rStyle w:val="FootnoteReference"/>
        </w:rPr>
        <w:footnoteRef/>
      </w:r>
      <w:r>
        <w:t xml:space="preserve"> </w:t>
      </w:r>
      <w:r w:rsidRPr="00810EFC">
        <w:t>Upadhyay, “ICTY’s Contribution to the Development of Public International Law,” 93–104.</w:t>
      </w:r>
    </w:p>
  </w:footnote>
  <w:footnote w:id="7">
    <w:p w14:paraId="4A6B520F" w14:textId="4A2C772E" w:rsidR="00810EFC" w:rsidRPr="00810EFC" w:rsidRDefault="00810EFC">
      <w:pPr>
        <w:pStyle w:val="FootnoteText"/>
        <w:rPr>
          <w:lang w:val="en-US"/>
        </w:rPr>
      </w:pPr>
      <w:r>
        <w:rPr>
          <w:rStyle w:val="FootnoteReference"/>
        </w:rPr>
        <w:footnoteRef/>
      </w:r>
      <w:r>
        <w:t xml:space="preserve"> </w:t>
      </w:r>
      <w:r w:rsidRPr="00810EFC">
        <w:t xml:space="preserve">Harsch, </w:t>
      </w:r>
      <w:r w:rsidRPr="00810EFC">
        <w:rPr>
          <w:i/>
          <w:iCs/>
        </w:rPr>
        <w:t>NATO and the UN</w:t>
      </w:r>
      <w:r w:rsidRPr="00810EFC">
        <w:t>.</w:t>
      </w:r>
    </w:p>
  </w:footnote>
  <w:footnote w:id="8">
    <w:p w14:paraId="43DA9EB4" w14:textId="12F1A060" w:rsidR="00810EFC" w:rsidRPr="00810EFC" w:rsidRDefault="00810EFC">
      <w:pPr>
        <w:pStyle w:val="FootnoteText"/>
        <w:rPr>
          <w:lang w:val="en-US"/>
        </w:rPr>
      </w:pPr>
      <w:r>
        <w:rPr>
          <w:rStyle w:val="FootnoteReference"/>
        </w:rPr>
        <w:footnoteRef/>
      </w:r>
      <w:r>
        <w:t xml:space="preserve"> </w:t>
      </w:r>
      <w:r w:rsidRPr="00810EFC">
        <w:t>Pardew and Bennett, “NATO’s Evolving Operations.”</w:t>
      </w:r>
    </w:p>
  </w:footnote>
  <w:footnote w:id="9">
    <w:p w14:paraId="167296B0" w14:textId="5B52AA91" w:rsidR="00810EFC" w:rsidRPr="00810EFC" w:rsidRDefault="00810EFC">
      <w:pPr>
        <w:pStyle w:val="FootnoteText"/>
        <w:rPr>
          <w:lang w:val="en-US"/>
        </w:rPr>
      </w:pPr>
      <w:r>
        <w:rPr>
          <w:rStyle w:val="FootnoteReference"/>
        </w:rPr>
        <w:footnoteRef/>
      </w:r>
      <w:r>
        <w:t xml:space="preserve"> </w:t>
      </w:r>
      <w:r w:rsidRPr="00810EFC">
        <w:t xml:space="preserve">Harsch, </w:t>
      </w:r>
      <w:r w:rsidRPr="00810EFC">
        <w:rPr>
          <w:i/>
          <w:iCs/>
        </w:rPr>
        <w:t>NATO and the UN</w:t>
      </w:r>
      <w:r w:rsidRPr="00810EFC">
        <w:t>.</w:t>
      </w:r>
    </w:p>
  </w:footnote>
  <w:footnote w:id="10">
    <w:p w14:paraId="17795F76" w14:textId="00025755" w:rsidR="00810EFC" w:rsidRPr="00810EFC" w:rsidRDefault="00810EFC">
      <w:pPr>
        <w:pStyle w:val="FootnoteText"/>
        <w:rPr>
          <w:lang w:val="en-US"/>
        </w:rPr>
      </w:pPr>
      <w:r>
        <w:rPr>
          <w:rStyle w:val="FootnoteReference"/>
        </w:rPr>
        <w:footnoteRef/>
      </w:r>
      <w:r>
        <w:t xml:space="preserve"> </w:t>
      </w:r>
      <w:r w:rsidRPr="00810EFC">
        <w:t>Upadhyay, “ICTY’s Contribution to the Development of Public International Law,” 93–104.</w:t>
      </w:r>
    </w:p>
  </w:footnote>
  <w:footnote w:id="11">
    <w:p w14:paraId="6E1B37BC" w14:textId="1DA2363E" w:rsidR="00810EFC" w:rsidRPr="00810EFC" w:rsidRDefault="00810EFC">
      <w:pPr>
        <w:pStyle w:val="FootnoteText"/>
        <w:rPr>
          <w:lang w:val="en-US"/>
        </w:rPr>
      </w:pPr>
      <w:r>
        <w:rPr>
          <w:rStyle w:val="FootnoteReference"/>
        </w:rPr>
        <w:footnoteRef/>
      </w:r>
      <w:r>
        <w:t xml:space="preserve"> </w:t>
      </w:r>
      <w:r w:rsidRPr="00810EFC">
        <w:t>Freudenschuss, “Between Unilateralism and Collective Security,” 492.</w:t>
      </w:r>
    </w:p>
  </w:footnote>
  <w:footnote w:id="12">
    <w:p w14:paraId="02061E9B" w14:textId="66811CC5" w:rsidR="00810EFC" w:rsidRPr="00810EFC" w:rsidRDefault="00810EFC">
      <w:pPr>
        <w:pStyle w:val="FootnoteText"/>
        <w:rPr>
          <w:lang w:val="en-US"/>
        </w:rPr>
      </w:pPr>
      <w:r>
        <w:rPr>
          <w:rStyle w:val="FootnoteReference"/>
        </w:rPr>
        <w:footnoteRef/>
      </w:r>
      <w:r>
        <w:t xml:space="preserve"> </w:t>
      </w:r>
      <w:r w:rsidRPr="00810EFC">
        <w:t xml:space="preserve">Finlan, </w:t>
      </w:r>
      <w:r w:rsidRPr="00810EFC">
        <w:rPr>
          <w:i/>
          <w:iCs/>
        </w:rPr>
        <w:t>Collapse of Yugoslavia</w:t>
      </w:r>
      <w:r w:rsidRPr="00810EFC">
        <w:t>, 1991–99.</w:t>
      </w:r>
    </w:p>
  </w:footnote>
  <w:footnote w:id="13">
    <w:p w14:paraId="1FEF277D" w14:textId="1AB3E888" w:rsidR="00810EFC" w:rsidRPr="00810EFC" w:rsidRDefault="00810EFC">
      <w:pPr>
        <w:pStyle w:val="FootnoteText"/>
        <w:rPr>
          <w:lang w:val="en-US"/>
        </w:rPr>
      </w:pPr>
      <w:r>
        <w:rPr>
          <w:rStyle w:val="FootnoteReference"/>
        </w:rPr>
        <w:footnoteRef/>
      </w:r>
      <w:r>
        <w:t xml:space="preserve"> </w:t>
      </w:r>
      <w:r w:rsidRPr="00810EFC">
        <w:t xml:space="preserve">Wentz et al., </w:t>
      </w:r>
      <w:r w:rsidRPr="00810EFC">
        <w:rPr>
          <w:i/>
          <w:iCs/>
        </w:rPr>
        <w:t>Lessons from Bosnia</w:t>
      </w:r>
      <w:r w:rsidRPr="00810EFC">
        <w:t>.</w:t>
      </w:r>
    </w:p>
  </w:footnote>
  <w:footnote w:id="14">
    <w:p w14:paraId="04993DD3" w14:textId="08C7F512" w:rsidR="00810EFC" w:rsidRPr="00810EFC" w:rsidRDefault="00810EFC">
      <w:pPr>
        <w:pStyle w:val="FootnoteText"/>
        <w:rPr>
          <w:lang w:val="en-US"/>
        </w:rPr>
      </w:pPr>
      <w:r>
        <w:rPr>
          <w:rStyle w:val="FootnoteReference"/>
        </w:rPr>
        <w:footnoteRef/>
      </w:r>
      <w:r>
        <w:t xml:space="preserve"> </w:t>
      </w:r>
      <w:proofErr w:type="spellStart"/>
      <w:r w:rsidRPr="00810EFC">
        <w:t>Calic</w:t>
      </w:r>
      <w:proofErr w:type="spellEnd"/>
      <w:r w:rsidRPr="00810EFC">
        <w:t xml:space="preserve">, </w:t>
      </w:r>
      <w:r w:rsidRPr="00810EFC">
        <w:rPr>
          <w:i/>
          <w:iCs/>
        </w:rPr>
        <w:t>A History of Yugoslavia</w:t>
      </w:r>
      <w:r w:rsidRPr="00810EFC">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6" w14:textId="77777777" w:rsidR="00C80114" w:rsidRDefault="00C80114">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7" w14:textId="7BFF8F63" w:rsidR="00C80114" w:rsidRDefault="00C80114">
    <w:pPr>
      <w:pBdr>
        <w:top w:val="nil"/>
        <w:left w:val="nil"/>
        <w:bottom w:val="nil"/>
        <w:right w:val="nil"/>
        <w:between w:val="nil"/>
      </w:pBdr>
      <w:tabs>
        <w:tab w:val="center" w:pos="4680"/>
        <w:tab w:val="right" w:pos="9360"/>
      </w:tabs>
      <w:spacing w:line="240" w:lineRule="auto"/>
      <w:jc w:val="right"/>
      <w:rPr>
        <w:color w:val="000000"/>
      </w:rPr>
    </w:pPr>
  </w:p>
  <w:p w14:paraId="00000038" w14:textId="77777777" w:rsidR="00C80114" w:rsidRDefault="00C80114">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9" w14:textId="77777777" w:rsidR="00C80114" w:rsidRDefault="00C80114">
    <w:pPr>
      <w:pBdr>
        <w:top w:val="nil"/>
        <w:left w:val="nil"/>
        <w:bottom w:val="nil"/>
        <w:right w:val="nil"/>
        <w:between w:val="nil"/>
      </w:pBdr>
      <w:tabs>
        <w:tab w:val="center" w:pos="4680"/>
        <w:tab w:val="right" w:pos="9360"/>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114"/>
    <w:rsid w:val="000A0DCA"/>
    <w:rsid w:val="00406760"/>
    <w:rsid w:val="005A17AB"/>
    <w:rsid w:val="00810EFC"/>
    <w:rsid w:val="00C80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4C6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360" w:lineRule="auto"/>
      <w:outlineLvl w:val="0"/>
    </w:pPr>
    <w:rPr>
      <w:b/>
      <w:bCs/>
      <w:sz w:val="28"/>
      <w:szCs w:val="28"/>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noteText">
    <w:name w:val="footnote text"/>
    <w:basedOn w:val="Normal"/>
    <w:link w:val="FootnoteTextChar"/>
    <w:uiPriority w:val="99"/>
    <w:semiHidden/>
    <w:unhideWhenUsed/>
    <w:rsid w:val="00810EFC"/>
    <w:pPr>
      <w:spacing w:line="240" w:lineRule="auto"/>
    </w:pPr>
    <w:rPr>
      <w:sz w:val="20"/>
      <w:szCs w:val="20"/>
    </w:rPr>
  </w:style>
  <w:style w:type="character" w:customStyle="1" w:styleId="FootnoteTextChar">
    <w:name w:val="Footnote Text Char"/>
    <w:basedOn w:val="DefaultParagraphFont"/>
    <w:link w:val="FootnoteText"/>
    <w:uiPriority w:val="99"/>
    <w:semiHidden/>
    <w:rsid w:val="00810EFC"/>
    <w:rPr>
      <w:sz w:val="20"/>
      <w:szCs w:val="20"/>
    </w:rPr>
  </w:style>
  <w:style w:type="character" w:styleId="FootnoteReference">
    <w:name w:val="footnote reference"/>
    <w:basedOn w:val="DefaultParagraphFont"/>
    <w:uiPriority w:val="99"/>
    <w:semiHidden/>
    <w:unhideWhenUsed/>
    <w:rsid w:val="00810EFC"/>
    <w:rPr>
      <w:vertAlign w:val="superscript"/>
    </w:rPr>
  </w:style>
  <w:style w:type="paragraph" w:styleId="TOC1">
    <w:name w:val="toc 1"/>
    <w:basedOn w:val="Normal"/>
    <w:next w:val="Normal"/>
    <w:autoRedefine/>
    <w:uiPriority w:val="39"/>
    <w:unhideWhenUsed/>
    <w:rsid w:val="00810EFC"/>
    <w:pPr>
      <w:spacing w:after="100"/>
    </w:pPr>
  </w:style>
  <w:style w:type="character" w:styleId="Hyperlink">
    <w:name w:val="Hyperlink"/>
    <w:basedOn w:val="DefaultParagraphFont"/>
    <w:uiPriority w:val="99"/>
    <w:unhideWhenUsed/>
    <w:rsid w:val="00810EFC"/>
    <w:rPr>
      <w:color w:val="0000FF" w:themeColor="hyperlink"/>
      <w:u w:val="single"/>
    </w:rPr>
  </w:style>
  <w:style w:type="paragraph" w:styleId="Footer">
    <w:name w:val="footer"/>
    <w:basedOn w:val="Normal"/>
    <w:link w:val="FooterChar"/>
    <w:uiPriority w:val="99"/>
    <w:unhideWhenUsed/>
    <w:rsid w:val="00810EFC"/>
    <w:pPr>
      <w:tabs>
        <w:tab w:val="center" w:pos="4680"/>
        <w:tab w:val="right" w:pos="9360"/>
      </w:tabs>
      <w:spacing w:line="240" w:lineRule="auto"/>
      <w:jc w:val="left"/>
    </w:pPr>
    <w:rPr>
      <w:rFonts w:asciiTheme="minorHAnsi" w:eastAsiaTheme="minorEastAsia" w:hAnsiTheme="minorHAnsi"/>
      <w:sz w:val="22"/>
      <w:szCs w:val="22"/>
      <w:lang w:val="en-US" w:eastAsia="en-US"/>
    </w:rPr>
  </w:style>
  <w:style w:type="character" w:customStyle="1" w:styleId="FooterChar">
    <w:name w:val="Footer Char"/>
    <w:basedOn w:val="DefaultParagraphFont"/>
    <w:link w:val="Footer"/>
    <w:uiPriority w:val="99"/>
    <w:rsid w:val="00810EFC"/>
    <w:rPr>
      <w:rFonts w:asciiTheme="minorHAnsi" w:eastAsiaTheme="minorEastAsia" w:hAnsiTheme="minorHAns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lib.purdue.edu/cgi/viewcontent.cgi?article=1023&amp;context=purduepress_previews" TargetMode="External"/><Relationship Id="rId13" Type="http://schemas.openxmlformats.org/officeDocument/2006/relationships/hyperlink" Target="https://archives.nato.int/uploads/r/nato-archives-online/a/3/b/a3bc3ad2984aea4fbdf7b7cf056eaad644b7273f8db9f037649d949761300d9a/2006-03-01_NATO_s_evolving_operations_ENG.pdf"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s://www.europeanperspectives.org/storage/123/Latest.pdf" TargetMode="External"/><Relationship Id="rId12" Type="http://schemas.openxmlformats.org/officeDocument/2006/relationships/hyperlink" Target="https://michaelharsch.org/wp-content/uploads/2018/11/Harsch-Maksimov-ICs-and-Public-Opinion.pdf"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ejil.org/pdfs/5/1/1264.pdf" TargetMode="External"/><Relationship Id="rId5" Type="http://schemas.openxmlformats.org/officeDocument/2006/relationships/footnotes" Target="footnotes.xml"/><Relationship Id="rId15" Type="http://schemas.openxmlformats.org/officeDocument/2006/relationships/hyperlink" Target="http://dodccrp.org/events/12th_ICCRTS/CD/library/html/pdf/Wentz_Bosnia.pdf" TargetMode="External"/><Relationship Id="rId23" Type="http://schemas.openxmlformats.org/officeDocument/2006/relationships/theme" Target="theme/theme1.xml"/><Relationship Id="rId10" Type="http://schemas.openxmlformats.org/officeDocument/2006/relationships/hyperlink" Target="https://www.amas.hk/pdf/lishishenxue/1/The%20Collapse%20of%20Yugoslavia%201991-1999%20(Alastair%20Finlan)%20(z-lib.org).pdf"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cadmus.eui.eu/bitstreams/a8b0a65e-6cc1-544c-a90e-a6971e0a9398/download" TargetMode="External"/><Relationship Id="rId14" Type="http://schemas.openxmlformats.org/officeDocument/2006/relationships/hyperlink" Target="https://dup.du.ac.in/index.php/NCLJ/article/download/229/166"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94DFE-008C-4CDF-B719-C3895DE38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2422</Words>
  <Characters>13812</Characters>
  <Application>Microsoft Office Word</Application>
  <DocSecurity>0</DocSecurity>
  <Lines>115</Lines>
  <Paragraphs>32</Paragraphs>
  <ScaleCrop>false</ScaleCrop>
  <Company/>
  <LinksUpToDate>false</LinksUpToDate>
  <CharactersWithSpaces>16202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2026-09-12T12:19:00Z</dcterms:created>
  <dcterms:modified xsi:type="dcterms:W3CDTF">2026-09-12T12:19:00Z</dcterms:modified>
</cp:coreProperties>
</file>