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w:t>
      </w:r>
    </w:p>
    <w:p w:rsidR="00295FC9" w:rsidRDefault="00295FC9">
      <w:pPr>
        <w:spacing w:line="360" w:lineRule="auto"/>
        <w:jc w:val="center"/>
        <w:rPr>
          <w:rFonts w:ascii="Times New Roman" w:eastAsia="Times New Roman" w:hAnsi="Times New Roman" w:cs="Times New Roman"/>
          <w:b/>
          <w:bCs/>
          <w:sz w:val="32"/>
          <w:szCs w:val="32"/>
        </w:rPr>
      </w:pPr>
    </w:p>
    <w:p w:rsidR="00295FC9" w:rsidRDefault="00295FC9">
      <w:pPr>
        <w:spacing w:line="360" w:lineRule="auto"/>
        <w:jc w:val="center"/>
        <w:rPr>
          <w:rFonts w:ascii="Times New Roman" w:eastAsia="Times New Roman" w:hAnsi="Times New Roman" w:cs="Times New Roman"/>
          <w:b/>
          <w:bCs/>
          <w:sz w:val="32"/>
          <w:szCs w:val="32"/>
        </w:rPr>
      </w:pPr>
    </w:p>
    <w:p w:rsidR="00295FC9" w:rsidRDefault="00295FC9">
      <w:pPr>
        <w:spacing w:line="360" w:lineRule="auto"/>
        <w:jc w:val="center"/>
        <w:rPr>
          <w:rFonts w:ascii="Times New Roman" w:eastAsia="Times New Roman" w:hAnsi="Times New Roman" w:cs="Times New Roman"/>
          <w:b/>
          <w:bCs/>
          <w:sz w:val="32"/>
          <w:szCs w:val="32"/>
        </w:rPr>
      </w:pPr>
    </w:p>
    <w:p w:rsidR="00295FC9" w:rsidRDefault="00295FC9">
      <w:pPr>
        <w:spacing w:line="360" w:lineRule="auto"/>
        <w:jc w:val="center"/>
        <w:rPr>
          <w:rFonts w:ascii="Times New Roman" w:eastAsia="Times New Roman" w:hAnsi="Times New Roman" w:cs="Times New Roman"/>
          <w:b/>
          <w:bCs/>
          <w:sz w:val="32"/>
          <w:szCs w:val="32"/>
        </w:rPr>
      </w:pPr>
    </w:p>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MODULE CODE AND NAME CMA4008, SITE PRACTICE 1</w:t>
      </w:r>
    </w:p>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MODULE LEADER DR IMAD DAGHER</w:t>
      </w:r>
    </w:p>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COHORT JAN 2025</w:t>
      </w:r>
    </w:p>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LEVEL 4</w:t>
      </w:r>
    </w:p>
    <w:p w:rsidR="00295FC9" w:rsidRDefault="0093609B">
      <w:pPr>
        <w:spacing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ASSESSMENT COMPONENT(S) PORTFOLIO</w:t>
      </w:r>
    </w:p>
    <w:p w:rsidR="00295FC9" w:rsidRDefault="00295FC9">
      <w:pPr>
        <w:spacing w:line="360" w:lineRule="auto"/>
        <w:jc w:val="center"/>
        <w:rPr>
          <w:rFonts w:ascii="Times New Roman" w:eastAsia="Times New Roman" w:hAnsi="Times New Roman" w:cs="Times New Roman"/>
          <w:b/>
          <w:bCs/>
          <w:sz w:val="32"/>
          <w:szCs w:val="32"/>
        </w:rPr>
      </w:pPr>
    </w:p>
    <w:p w:rsidR="00295FC9" w:rsidRDefault="00295FC9">
      <w:pPr>
        <w:spacing w:line="360" w:lineRule="auto"/>
        <w:jc w:val="center"/>
        <w:rPr>
          <w:rFonts w:ascii="Times New Roman" w:eastAsia="Times New Roman" w:hAnsi="Times New Roman" w:cs="Times New Roman"/>
          <w:b/>
          <w:bCs/>
          <w:sz w:val="28"/>
          <w:szCs w:val="28"/>
        </w:rPr>
      </w:pPr>
    </w:p>
    <w:p w:rsidR="00295FC9" w:rsidRDefault="0093609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Name:</w:t>
      </w:r>
    </w:p>
    <w:p w:rsidR="00295FC9" w:rsidRDefault="0093609B">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Student ID: </w:t>
      </w:r>
      <w:r>
        <w:br w:type="page"/>
      </w:r>
    </w:p>
    <w:sdt>
      <w:sdtPr>
        <w:rPr>
          <w:rFonts w:ascii="Arial" w:eastAsia="Arial" w:hAnsi="Arial" w:cs="Arial"/>
          <w:b w:val="0"/>
          <w:bCs w:val="0"/>
          <w:color w:val="auto"/>
          <w:sz w:val="32"/>
          <w:szCs w:val="22"/>
          <w:lang w:val="en" w:eastAsia="en-GB"/>
        </w:rPr>
        <w:id w:val="517581988"/>
        <w:docPartObj>
          <w:docPartGallery w:val="Table of Contents"/>
          <w:docPartUnique/>
        </w:docPartObj>
      </w:sdtPr>
      <w:sdtEndPr>
        <w:rPr>
          <w:noProof/>
          <w:sz w:val="22"/>
        </w:rPr>
      </w:sdtEndPr>
      <w:sdtContent>
        <w:p w:rsidR="00424F0C" w:rsidRPr="00424F0C" w:rsidRDefault="0093609B" w:rsidP="00424F0C">
          <w:pPr>
            <w:pStyle w:val="TOCHeading"/>
            <w:spacing w:line="360" w:lineRule="auto"/>
            <w:jc w:val="center"/>
            <w:rPr>
              <w:rFonts w:ascii="Times New Roman" w:hAnsi="Times New Roman" w:cs="Times New Roman"/>
              <w:color w:val="000000" w:themeColor="text1"/>
              <w:szCs w:val="24"/>
            </w:rPr>
          </w:pPr>
          <w:r w:rsidRPr="00424F0C">
            <w:rPr>
              <w:rFonts w:ascii="Times New Roman" w:hAnsi="Times New Roman" w:cs="Times New Roman"/>
              <w:color w:val="000000" w:themeColor="text1"/>
              <w:szCs w:val="24"/>
            </w:rPr>
            <w:t>Table of Contents</w:t>
          </w:r>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r w:rsidRPr="00424F0C">
            <w:rPr>
              <w:rFonts w:ascii="Times New Roman" w:hAnsi="Times New Roman" w:cs="Times New Roman"/>
              <w:color w:val="000000" w:themeColor="text1"/>
              <w:sz w:val="24"/>
              <w:szCs w:val="24"/>
            </w:rPr>
            <w:fldChar w:fldCharType="begin"/>
          </w:r>
          <w:r w:rsidRPr="00424F0C">
            <w:rPr>
              <w:rFonts w:ascii="Times New Roman" w:hAnsi="Times New Roman" w:cs="Times New Roman"/>
              <w:color w:val="000000" w:themeColor="text1"/>
              <w:sz w:val="24"/>
              <w:szCs w:val="24"/>
            </w:rPr>
            <w:instrText xml:space="preserve"> TOC \o "1-3" \h \z \u </w:instrText>
          </w:r>
          <w:r w:rsidRPr="00424F0C">
            <w:rPr>
              <w:rFonts w:ascii="Times New Roman" w:hAnsi="Times New Roman" w:cs="Times New Roman"/>
              <w:color w:val="000000" w:themeColor="text1"/>
              <w:sz w:val="24"/>
              <w:szCs w:val="24"/>
            </w:rPr>
            <w:fldChar w:fldCharType="separate"/>
          </w:r>
          <w:hyperlink w:anchor="_Toc240115993" w:history="1">
            <w:r w:rsidRPr="00424F0C">
              <w:rPr>
                <w:rStyle w:val="Hyperlink"/>
                <w:rFonts w:ascii="Times New Roman" w:hAnsi="Times New Roman" w:cs="Times New Roman"/>
                <w:noProof/>
                <w:color w:val="000000" w:themeColor="text1"/>
                <w:sz w:val="24"/>
                <w:szCs w:val="24"/>
              </w:rPr>
              <w:t xml:space="preserve">1.0 </w:t>
            </w:r>
            <w:r w:rsidRPr="00424F0C">
              <w:rPr>
                <w:rStyle w:val="Hyperlink"/>
                <w:rFonts w:ascii="Times New Roman" w:hAnsi="Times New Roman" w:cs="Times New Roman"/>
                <w:noProof/>
                <w:color w:val="000000" w:themeColor="text1"/>
                <w:sz w:val="24"/>
                <w:szCs w:val="24"/>
              </w:rPr>
              <w:t>Introduction and Project Overview</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_Toc240115993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4</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5994" w:history="1">
            <w:r w:rsidRPr="00424F0C">
              <w:rPr>
                <w:rStyle w:val="Hyperlink"/>
                <w:rFonts w:ascii="Times New Roman" w:hAnsi="Times New Roman" w:cs="Times New Roman"/>
                <w:noProof/>
                <w:color w:val="000000" w:themeColor="text1"/>
                <w:sz w:val="24"/>
                <w:szCs w:val="24"/>
              </w:rPr>
              <w:t>1.1 Context of the project and scope</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_Toc240115994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6</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5995" w:history="1">
            <w:r w:rsidRPr="00424F0C">
              <w:rPr>
                <w:rStyle w:val="Hyperlink"/>
                <w:rFonts w:ascii="Times New Roman" w:hAnsi="Times New Roman" w:cs="Times New Roman"/>
                <w:noProof/>
                <w:color w:val="000000" w:themeColor="text1"/>
                <w:sz w:val="24"/>
                <w:szCs w:val="24"/>
              </w:rPr>
              <w:t>1.2 Project aim and objectives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_Toc240115995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6</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5996" w:history="1">
            <w:r w:rsidRPr="00424F0C">
              <w:rPr>
                <w:rStyle w:val="Hyperlink"/>
                <w:rFonts w:ascii="Times New Roman" w:hAnsi="Times New Roman" w:cs="Times New Roman"/>
                <w:noProof/>
                <w:color w:val="000000" w:themeColor="text1"/>
                <w:sz w:val="24"/>
                <w:szCs w:val="24"/>
              </w:rPr>
              <w:t>1.3 Project timeline and construction phases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_Toc240115996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6</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5997" w:history="1">
            <w:r w:rsidRPr="00424F0C">
              <w:rPr>
                <w:rStyle w:val="Hyperlink"/>
                <w:rFonts w:ascii="Times New Roman" w:hAnsi="Times New Roman" w:cs="Times New Roman"/>
                <w:noProof/>
                <w:color w:val="000000" w:themeColor="text1"/>
                <w:sz w:val="24"/>
                <w:szCs w:val="24"/>
              </w:rPr>
              <w:t>1.4 Significance of the project</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_Toc240115997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7</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115998" w:history="1">
            <w:r w:rsidRPr="00424F0C">
              <w:rPr>
                <w:rStyle w:val="Hyperlink"/>
                <w:rFonts w:ascii="Times New Roman" w:hAnsi="Times New Roman" w:cs="Times New Roman"/>
                <w:noProof/>
                <w:color w:val="000000" w:themeColor="text1"/>
                <w:sz w:val="24"/>
                <w:szCs w:val="24"/>
              </w:rPr>
              <w:t>2.0 Change control mechanisms in construction</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_Toc240115998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7</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5999" w:history="1">
            <w:r w:rsidRPr="00424F0C">
              <w:rPr>
                <w:rStyle w:val="Hyperlink"/>
                <w:rFonts w:ascii="Times New Roman" w:hAnsi="Times New Roman" w:cs="Times New Roman"/>
                <w:noProof/>
                <w:color w:val="000000" w:themeColor="text1"/>
                <w:sz w:val="24"/>
                <w:szCs w:val="24"/>
              </w:rPr>
              <w:t>2.1 Change in construction and other unexpected is</w:t>
            </w:r>
            <w:r w:rsidRPr="00424F0C">
              <w:rPr>
                <w:rStyle w:val="Hyperlink"/>
                <w:rFonts w:ascii="Times New Roman" w:hAnsi="Times New Roman" w:cs="Times New Roman"/>
                <w:noProof/>
                <w:color w:val="000000" w:themeColor="text1"/>
                <w:sz w:val="24"/>
                <w:szCs w:val="24"/>
              </w:rPr>
              <w:t>sues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_Toc240115999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7</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0" w:history="1">
            <w:r w:rsidRPr="00424F0C">
              <w:rPr>
                <w:rStyle w:val="Hyperlink"/>
                <w:rFonts w:ascii="Times New Roman" w:hAnsi="Times New Roman" w:cs="Times New Roman"/>
                <w:noProof/>
                <w:color w:val="000000" w:themeColor="text1"/>
                <w:sz w:val="24"/>
                <w:szCs w:val="24"/>
              </w:rPr>
              <w:t>2.2 Change control process involving large-scale projects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_Toc240116000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8</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1" w:history="1">
            <w:r w:rsidRPr="00424F0C">
              <w:rPr>
                <w:rStyle w:val="Hyperlink"/>
                <w:rFonts w:ascii="Times New Roman" w:hAnsi="Times New Roman" w:cs="Times New Roman"/>
                <w:noProof/>
                <w:color w:val="000000" w:themeColor="text1"/>
                <w:sz w:val="24"/>
                <w:szCs w:val="24"/>
              </w:rPr>
              <w:t>2.3 Application to the Bloomberg Building</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_Toc240116001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8</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2" w:history="1">
            <w:r w:rsidRPr="00424F0C">
              <w:rPr>
                <w:rStyle w:val="Hyperlink"/>
                <w:rFonts w:ascii="Times New Roman" w:hAnsi="Times New Roman" w:cs="Times New Roman"/>
                <w:noProof/>
                <w:color w:val="000000" w:themeColor="text1"/>
                <w:sz w:val="24"/>
                <w:szCs w:val="24"/>
              </w:rPr>
              <w:t>2.4 Control change register</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_Toc240116002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8</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3" w:history="1">
            <w:r w:rsidRPr="00424F0C">
              <w:rPr>
                <w:rStyle w:val="Hyperlink"/>
                <w:rFonts w:ascii="Times New Roman" w:hAnsi="Times New Roman" w:cs="Times New Roman"/>
                <w:noProof/>
                <w:color w:val="000000" w:themeColor="text1"/>
                <w:sz w:val="24"/>
                <w:szCs w:val="24"/>
              </w:rPr>
              <w:t>2.5 Commercial implications involving change</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_Toc240116003 </w:instrText>
            </w:r>
            <w:r w:rsidRPr="00424F0C">
              <w:rPr>
                <w:rFonts w:ascii="Times New Roman" w:hAnsi="Times New Roman" w:cs="Times New Roman"/>
                <w:noProof/>
                <w:webHidden/>
                <w:color w:val="000000" w:themeColor="text1"/>
                <w:sz w:val="24"/>
                <w:szCs w:val="24"/>
              </w:rPr>
              <w:instrText xml:space="preserve">\h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10</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116004" w:history="1">
            <w:r w:rsidRPr="00424F0C">
              <w:rPr>
                <w:rStyle w:val="Hyperlink"/>
                <w:rFonts w:ascii="Times New Roman" w:hAnsi="Times New Roman" w:cs="Times New Roman"/>
                <w:noProof/>
                <w:color w:val="000000" w:themeColor="text1"/>
                <w:sz w:val="24"/>
                <w:szCs w:val="24"/>
              </w:rPr>
              <w:t>3.0 Risk management and role of a risk register</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_Toc240116004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10</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5" w:history="1">
            <w:r w:rsidRPr="00424F0C">
              <w:rPr>
                <w:rStyle w:val="Hyperlink"/>
                <w:rFonts w:ascii="Times New Roman" w:hAnsi="Times New Roman" w:cs="Times New Roman"/>
                <w:noProof/>
                <w:color w:val="000000" w:themeColor="text1"/>
                <w:sz w:val="24"/>
                <w:szCs w:val="24"/>
              </w:rPr>
              <w:t>3.1 Risk management within construction</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_Toc240116005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10</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6" w:history="1">
            <w:r w:rsidRPr="00424F0C">
              <w:rPr>
                <w:rStyle w:val="Hyperlink"/>
                <w:rFonts w:ascii="Times New Roman" w:hAnsi="Times New Roman" w:cs="Times New Roman"/>
                <w:noProof/>
                <w:color w:val="000000" w:themeColor="text1"/>
                <w:sz w:val="24"/>
                <w:szCs w:val="24"/>
              </w:rPr>
              <w:t>3.2 Identifying risk within a Bloomberg-type project</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_Toc240116006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10</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7" w:history="1">
            <w:r w:rsidRPr="00424F0C">
              <w:rPr>
                <w:rStyle w:val="Hyperlink"/>
                <w:rFonts w:ascii="Times New Roman" w:hAnsi="Times New Roman" w:cs="Times New Roman"/>
                <w:noProof/>
                <w:color w:val="000000" w:themeColor="text1"/>
                <w:sz w:val="24"/>
                <w:szCs w:val="24"/>
              </w:rPr>
              <w:t>3.3 Assessment of likelihood and consequen</w:t>
            </w:r>
            <w:r w:rsidRPr="00424F0C">
              <w:rPr>
                <w:rStyle w:val="Hyperlink"/>
                <w:rFonts w:ascii="Times New Roman" w:hAnsi="Times New Roman" w:cs="Times New Roman"/>
                <w:noProof/>
                <w:color w:val="000000" w:themeColor="text1"/>
                <w:sz w:val="24"/>
                <w:szCs w:val="24"/>
              </w:rPr>
              <w:t>ces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_Toc240116007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11</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8" w:history="1">
            <w:r w:rsidRPr="00424F0C">
              <w:rPr>
                <w:rStyle w:val="Hyperlink"/>
                <w:rFonts w:ascii="Times New Roman" w:hAnsi="Times New Roman" w:cs="Times New Roman"/>
                <w:noProof/>
                <w:color w:val="000000" w:themeColor="text1"/>
                <w:sz w:val="24"/>
                <w:szCs w:val="24"/>
              </w:rPr>
              <w:t>3.4 Risk Assessment Matrix</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_Toc240116008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11</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09" w:history="1">
            <w:r w:rsidRPr="00424F0C">
              <w:rPr>
                <w:rStyle w:val="Hyperlink"/>
                <w:rFonts w:ascii="Times New Roman" w:hAnsi="Times New Roman" w:cs="Times New Roman"/>
                <w:noProof/>
                <w:color w:val="000000" w:themeColor="text1"/>
                <w:sz w:val="24"/>
                <w:szCs w:val="24"/>
              </w:rPr>
              <w:t>3.5 Risk Register</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_Toc240116009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12</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10" w:history="1">
            <w:r w:rsidRPr="00424F0C">
              <w:rPr>
                <w:rStyle w:val="Hyperlink"/>
                <w:rFonts w:ascii="Times New Roman" w:hAnsi="Times New Roman" w:cs="Times New Roman"/>
                <w:noProof/>
                <w:color w:val="000000" w:themeColor="text1"/>
                <w:sz w:val="24"/>
                <w:szCs w:val="24"/>
              </w:rPr>
              <w:t xml:space="preserve">3.6 </w:t>
            </w:r>
            <w:r w:rsidRPr="00424F0C">
              <w:rPr>
                <w:rStyle w:val="Hyperlink"/>
                <w:rFonts w:ascii="Times New Roman" w:hAnsi="Times New Roman" w:cs="Times New Roman"/>
                <w:noProof/>
                <w:color w:val="000000" w:themeColor="text1"/>
                <w:sz w:val="24"/>
                <w:szCs w:val="24"/>
              </w:rPr>
              <w:t>Residual Risks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_Toc240116010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13</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116011" w:history="1">
            <w:r w:rsidRPr="00424F0C">
              <w:rPr>
                <w:rStyle w:val="Hyperlink"/>
                <w:rFonts w:ascii="Times New Roman" w:hAnsi="Times New Roman" w:cs="Times New Roman"/>
                <w:noProof/>
                <w:color w:val="000000" w:themeColor="text1"/>
                <w:sz w:val="24"/>
                <w:szCs w:val="24"/>
              </w:rPr>
              <w:t>4.0 Lessons from wider construction industry</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_Toc240116011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14</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12" w:history="1">
            <w:r w:rsidRPr="00424F0C">
              <w:rPr>
                <w:rStyle w:val="Hyperlink"/>
                <w:rFonts w:ascii="Times New Roman" w:hAnsi="Times New Roman" w:cs="Times New Roman"/>
                <w:noProof/>
                <w:color w:val="000000" w:themeColor="text1"/>
                <w:sz w:val="24"/>
                <w:szCs w:val="24"/>
              </w:rPr>
              <w:t>4.1 Construction industry lessons and response to change</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_Toc240116012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14</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13" w:history="1">
            <w:r w:rsidRPr="00424F0C">
              <w:rPr>
                <w:rStyle w:val="Hyperlink"/>
                <w:rFonts w:ascii="Times New Roman" w:hAnsi="Times New Roman" w:cs="Times New Roman"/>
                <w:noProof/>
                <w:color w:val="000000" w:themeColor="text1"/>
                <w:sz w:val="24"/>
                <w:szCs w:val="24"/>
              </w:rPr>
              <w:t>4.2 Technology and change management</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_Toc240116013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14</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14" w:history="1">
            <w:r w:rsidRPr="00424F0C">
              <w:rPr>
                <w:rStyle w:val="Hyperlink"/>
                <w:rFonts w:ascii="Times New Roman" w:hAnsi="Times New Roman" w:cs="Times New Roman"/>
                <w:noProof/>
                <w:color w:val="000000" w:themeColor="text1"/>
                <w:sz w:val="24"/>
                <w:szCs w:val="24"/>
              </w:rPr>
              <w:t>4.3 Wider implications related to economic costs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_Toc240116014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15</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2"/>
            <w:tabs>
              <w:tab w:val="right" w:leader="dot" w:pos="9350"/>
            </w:tabs>
            <w:spacing w:line="360" w:lineRule="auto"/>
            <w:jc w:val="center"/>
            <w:rPr>
              <w:rFonts w:ascii="Times New Roman" w:hAnsi="Times New Roman" w:cs="Times New Roman"/>
              <w:noProof/>
              <w:color w:val="000000" w:themeColor="text1"/>
              <w:sz w:val="24"/>
              <w:szCs w:val="24"/>
            </w:rPr>
          </w:pPr>
          <w:hyperlink w:anchor="_Toc240116015" w:history="1">
            <w:r w:rsidRPr="00424F0C">
              <w:rPr>
                <w:rStyle w:val="Hyperlink"/>
                <w:rFonts w:ascii="Times New Roman" w:hAnsi="Times New Roman" w:cs="Times New Roman"/>
                <w:noProof/>
                <w:color w:val="000000" w:themeColor="text1"/>
                <w:sz w:val="24"/>
                <w:szCs w:val="24"/>
              </w:rPr>
              <w:t>4.4 Skills, collaboration, and adaptability</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w:instrText>
            </w:r>
            <w:r w:rsidRPr="00424F0C">
              <w:rPr>
                <w:rFonts w:ascii="Times New Roman" w:hAnsi="Times New Roman" w:cs="Times New Roman"/>
                <w:noProof/>
                <w:webHidden/>
                <w:color w:val="000000" w:themeColor="text1"/>
                <w:sz w:val="24"/>
                <w:szCs w:val="24"/>
              </w:rPr>
              <w:instrText xml:space="preserve">AGEREF _Toc240116015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15</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116016" w:history="1">
            <w:r w:rsidRPr="00424F0C">
              <w:rPr>
                <w:rStyle w:val="Hyperlink"/>
                <w:rFonts w:ascii="Times New Roman" w:hAnsi="Times New Roman" w:cs="Times New Roman"/>
                <w:noProof/>
                <w:color w:val="000000" w:themeColor="text1"/>
                <w:sz w:val="24"/>
                <w:szCs w:val="24"/>
              </w:rPr>
              <w:t>5.0 Conclusion</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_Toc240116016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16</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pStyle w:val="TOC1"/>
            <w:tabs>
              <w:tab w:val="right" w:leader="dot" w:pos="9350"/>
            </w:tabs>
            <w:spacing w:line="360" w:lineRule="auto"/>
            <w:jc w:val="center"/>
            <w:rPr>
              <w:rFonts w:ascii="Times New Roman" w:hAnsi="Times New Roman" w:cs="Times New Roman"/>
              <w:noProof/>
              <w:color w:val="000000" w:themeColor="text1"/>
              <w:sz w:val="24"/>
              <w:szCs w:val="24"/>
            </w:rPr>
          </w:pPr>
          <w:hyperlink w:anchor="_Toc240116017" w:history="1">
            <w:r w:rsidRPr="00424F0C">
              <w:rPr>
                <w:rStyle w:val="Hyperlink"/>
                <w:rFonts w:ascii="Times New Roman" w:hAnsi="Times New Roman" w:cs="Times New Roman"/>
                <w:noProof/>
                <w:color w:val="000000" w:themeColor="text1"/>
                <w:sz w:val="24"/>
                <w:szCs w:val="24"/>
              </w:rPr>
              <w:t>References</w:t>
            </w:r>
            <w:r w:rsidRPr="00424F0C">
              <w:rPr>
                <w:rFonts w:ascii="Times New Roman" w:hAnsi="Times New Roman" w:cs="Times New Roman"/>
                <w:noProof/>
                <w:webHidden/>
                <w:color w:val="000000" w:themeColor="text1"/>
                <w:sz w:val="24"/>
                <w:szCs w:val="24"/>
              </w:rPr>
              <w:tab/>
            </w:r>
            <w:r w:rsidRPr="00424F0C">
              <w:rPr>
                <w:rFonts w:ascii="Times New Roman" w:hAnsi="Times New Roman" w:cs="Times New Roman"/>
                <w:noProof/>
                <w:webHidden/>
                <w:color w:val="000000" w:themeColor="text1"/>
                <w:sz w:val="24"/>
                <w:szCs w:val="24"/>
              </w:rPr>
              <w:fldChar w:fldCharType="begin"/>
            </w:r>
            <w:r w:rsidRPr="00424F0C">
              <w:rPr>
                <w:rFonts w:ascii="Times New Roman" w:hAnsi="Times New Roman" w:cs="Times New Roman"/>
                <w:noProof/>
                <w:webHidden/>
                <w:color w:val="000000" w:themeColor="text1"/>
                <w:sz w:val="24"/>
                <w:szCs w:val="24"/>
              </w:rPr>
              <w:instrText xml:space="preserve"> PAGEREF _Toc240116017 \h </w:instrText>
            </w:r>
            <w:r w:rsidRPr="00424F0C">
              <w:rPr>
                <w:rFonts w:ascii="Times New Roman" w:hAnsi="Times New Roman" w:cs="Times New Roman"/>
                <w:noProof/>
                <w:webHidden/>
                <w:color w:val="000000" w:themeColor="text1"/>
                <w:sz w:val="24"/>
                <w:szCs w:val="24"/>
              </w:rPr>
            </w:r>
            <w:r w:rsidRPr="00424F0C">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17</w:t>
            </w:r>
            <w:r w:rsidRPr="00424F0C">
              <w:rPr>
                <w:rFonts w:ascii="Times New Roman" w:hAnsi="Times New Roman" w:cs="Times New Roman"/>
                <w:noProof/>
                <w:webHidden/>
                <w:color w:val="000000" w:themeColor="text1"/>
                <w:sz w:val="24"/>
                <w:szCs w:val="24"/>
              </w:rPr>
              <w:fldChar w:fldCharType="end"/>
            </w:r>
          </w:hyperlink>
        </w:p>
        <w:p w:rsidR="00424F0C" w:rsidRPr="00424F0C" w:rsidRDefault="0093609B" w:rsidP="00424F0C">
          <w:pPr>
            <w:spacing w:line="360" w:lineRule="auto"/>
            <w:jc w:val="center"/>
          </w:pPr>
          <w:r w:rsidRPr="00424F0C">
            <w:rPr>
              <w:rFonts w:ascii="Times New Roman" w:hAnsi="Times New Roman" w:cs="Times New Roman"/>
              <w:b/>
              <w:bCs/>
              <w:noProof/>
              <w:color w:val="000000" w:themeColor="text1"/>
              <w:sz w:val="24"/>
              <w:szCs w:val="24"/>
            </w:rPr>
            <w:fldChar w:fldCharType="end"/>
          </w:r>
        </w:p>
      </w:sdtContent>
    </w:sdt>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424F0C" w:rsidRDefault="00424F0C">
      <w:pPr>
        <w:spacing w:line="360" w:lineRule="auto"/>
        <w:jc w:val="both"/>
        <w:rPr>
          <w:rFonts w:ascii="Times New Roman" w:eastAsia="Times New Roman" w:hAnsi="Times New Roman" w:cs="Times New Roman"/>
          <w:b/>
          <w:bCs/>
          <w:sz w:val="28"/>
          <w:szCs w:val="28"/>
        </w:rPr>
      </w:pPr>
    </w:p>
    <w:p w:rsidR="002A3650" w:rsidRPr="004D6E3E" w:rsidRDefault="0093609B" w:rsidP="004D6E3E">
      <w:pPr>
        <w:spacing w:line="360" w:lineRule="auto"/>
        <w:jc w:val="center"/>
        <w:rPr>
          <w:rFonts w:ascii="Times New Roman" w:hAnsi="Times New Roman" w:cs="Times New Roman"/>
          <w:b/>
          <w:color w:val="000000" w:themeColor="text1"/>
          <w:sz w:val="28"/>
          <w:szCs w:val="24"/>
        </w:rPr>
      </w:pPr>
      <w:bookmarkStart w:id="0" w:name="_Toc240115993"/>
      <w:r w:rsidRPr="004D6E3E">
        <w:rPr>
          <w:rFonts w:ascii="Times New Roman" w:hAnsi="Times New Roman" w:cs="Times New Roman"/>
          <w:b/>
          <w:color w:val="000000" w:themeColor="text1"/>
          <w:sz w:val="28"/>
          <w:szCs w:val="24"/>
        </w:rPr>
        <w:lastRenderedPageBreak/>
        <w:t>List of Tables</w:t>
      </w:r>
    </w:p>
    <w:p w:rsidR="004D6E3E" w:rsidRPr="004D6E3E" w:rsidRDefault="0093609B" w:rsidP="004D6E3E">
      <w:pPr>
        <w:pStyle w:val="TableofFigures"/>
        <w:tabs>
          <w:tab w:val="right" w:leader="dot" w:pos="9350"/>
        </w:tabs>
        <w:spacing w:line="360" w:lineRule="auto"/>
        <w:jc w:val="center"/>
        <w:rPr>
          <w:rFonts w:ascii="Times New Roman" w:eastAsiaTheme="minorEastAsia" w:hAnsi="Times New Roman" w:cs="Times New Roman"/>
          <w:noProof/>
          <w:color w:val="000000" w:themeColor="text1"/>
          <w:sz w:val="24"/>
          <w:szCs w:val="24"/>
          <w:lang w:val="en-GB"/>
        </w:rPr>
      </w:pPr>
      <w:r w:rsidRPr="004D6E3E">
        <w:rPr>
          <w:rFonts w:ascii="Times New Roman" w:hAnsi="Times New Roman" w:cs="Times New Roman"/>
          <w:b/>
          <w:color w:val="000000" w:themeColor="text1"/>
          <w:sz w:val="24"/>
          <w:szCs w:val="24"/>
        </w:rPr>
        <w:fldChar w:fldCharType="begin"/>
      </w:r>
      <w:r w:rsidRPr="004D6E3E">
        <w:rPr>
          <w:rFonts w:ascii="Times New Roman" w:hAnsi="Times New Roman" w:cs="Times New Roman"/>
          <w:b/>
          <w:color w:val="000000" w:themeColor="text1"/>
          <w:sz w:val="24"/>
          <w:szCs w:val="24"/>
        </w:rPr>
        <w:instrText xml:space="preserve"> TOC \h \z \c "Table" </w:instrText>
      </w:r>
      <w:r w:rsidRPr="004D6E3E">
        <w:rPr>
          <w:rFonts w:ascii="Times New Roman" w:hAnsi="Times New Roman" w:cs="Times New Roman"/>
          <w:b/>
          <w:color w:val="000000" w:themeColor="text1"/>
          <w:sz w:val="24"/>
          <w:szCs w:val="24"/>
        </w:rPr>
        <w:fldChar w:fldCharType="separate"/>
      </w:r>
      <w:hyperlink w:anchor="_Toc240119023" w:history="1">
        <w:r w:rsidRPr="004D6E3E">
          <w:rPr>
            <w:rStyle w:val="Hyperlink"/>
            <w:rFonts w:ascii="Times New Roman" w:hAnsi="Times New Roman" w:cs="Times New Roman"/>
            <w:noProof/>
            <w:color w:val="000000" w:themeColor="text1"/>
            <w:sz w:val="24"/>
            <w:szCs w:val="24"/>
          </w:rPr>
          <w:t>Table 1: Control Change Register</w:t>
        </w:r>
        <w:r w:rsidRPr="004D6E3E">
          <w:rPr>
            <w:rFonts w:ascii="Times New Roman" w:hAnsi="Times New Roman" w:cs="Times New Roman"/>
            <w:noProof/>
            <w:webHidden/>
            <w:color w:val="000000" w:themeColor="text1"/>
            <w:sz w:val="24"/>
            <w:szCs w:val="24"/>
          </w:rPr>
          <w:tab/>
        </w:r>
        <w:r w:rsidRPr="004D6E3E">
          <w:rPr>
            <w:rFonts w:ascii="Times New Roman" w:hAnsi="Times New Roman" w:cs="Times New Roman"/>
            <w:noProof/>
            <w:webHidden/>
            <w:color w:val="000000" w:themeColor="text1"/>
            <w:sz w:val="24"/>
            <w:szCs w:val="24"/>
          </w:rPr>
          <w:fldChar w:fldCharType="begin"/>
        </w:r>
        <w:r w:rsidRPr="004D6E3E">
          <w:rPr>
            <w:rFonts w:ascii="Times New Roman" w:hAnsi="Times New Roman" w:cs="Times New Roman"/>
            <w:noProof/>
            <w:webHidden/>
            <w:color w:val="000000" w:themeColor="text1"/>
            <w:sz w:val="24"/>
            <w:szCs w:val="24"/>
          </w:rPr>
          <w:instrText xml:space="preserve"> PAGEREF _Toc240119023 \h </w:instrText>
        </w:r>
        <w:r w:rsidRPr="004D6E3E">
          <w:rPr>
            <w:rFonts w:ascii="Times New Roman" w:hAnsi="Times New Roman" w:cs="Times New Roman"/>
            <w:noProof/>
            <w:webHidden/>
            <w:color w:val="000000" w:themeColor="text1"/>
            <w:sz w:val="24"/>
            <w:szCs w:val="24"/>
          </w:rPr>
        </w:r>
        <w:r w:rsidRPr="004D6E3E">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9</w:t>
        </w:r>
        <w:r w:rsidRPr="004D6E3E">
          <w:rPr>
            <w:rFonts w:ascii="Times New Roman" w:hAnsi="Times New Roman" w:cs="Times New Roman"/>
            <w:noProof/>
            <w:webHidden/>
            <w:color w:val="000000" w:themeColor="text1"/>
            <w:sz w:val="24"/>
            <w:szCs w:val="24"/>
          </w:rPr>
          <w:fldChar w:fldCharType="end"/>
        </w:r>
      </w:hyperlink>
    </w:p>
    <w:p w:rsidR="004D6E3E" w:rsidRPr="004D6E3E" w:rsidRDefault="0093609B" w:rsidP="004D6E3E">
      <w:pPr>
        <w:pStyle w:val="TableofFigures"/>
        <w:tabs>
          <w:tab w:val="right" w:leader="dot" w:pos="9350"/>
        </w:tabs>
        <w:spacing w:line="360" w:lineRule="auto"/>
        <w:jc w:val="center"/>
        <w:rPr>
          <w:rFonts w:ascii="Times New Roman" w:eastAsiaTheme="minorEastAsia" w:hAnsi="Times New Roman" w:cs="Times New Roman"/>
          <w:noProof/>
          <w:color w:val="000000" w:themeColor="text1"/>
          <w:sz w:val="24"/>
          <w:szCs w:val="24"/>
          <w:lang w:val="en-GB"/>
        </w:rPr>
      </w:pPr>
      <w:hyperlink w:anchor="_Toc240119024" w:history="1">
        <w:r w:rsidRPr="004D6E3E">
          <w:rPr>
            <w:rStyle w:val="Hyperlink"/>
            <w:rFonts w:ascii="Times New Roman" w:hAnsi="Times New Roman" w:cs="Times New Roman"/>
            <w:noProof/>
            <w:color w:val="000000" w:themeColor="text1"/>
            <w:sz w:val="24"/>
            <w:szCs w:val="24"/>
          </w:rPr>
          <w:t>Table 2: Risk Register</w:t>
        </w:r>
        <w:r w:rsidRPr="004D6E3E">
          <w:rPr>
            <w:rFonts w:ascii="Times New Roman" w:hAnsi="Times New Roman" w:cs="Times New Roman"/>
            <w:noProof/>
            <w:webHidden/>
            <w:color w:val="000000" w:themeColor="text1"/>
            <w:sz w:val="24"/>
            <w:szCs w:val="24"/>
          </w:rPr>
          <w:tab/>
        </w:r>
        <w:r w:rsidRPr="004D6E3E">
          <w:rPr>
            <w:rFonts w:ascii="Times New Roman" w:hAnsi="Times New Roman" w:cs="Times New Roman"/>
            <w:noProof/>
            <w:webHidden/>
            <w:color w:val="000000" w:themeColor="text1"/>
            <w:sz w:val="24"/>
            <w:szCs w:val="24"/>
          </w:rPr>
          <w:fldChar w:fldCharType="begin"/>
        </w:r>
        <w:r w:rsidRPr="004D6E3E">
          <w:rPr>
            <w:rFonts w:ascii="Times New Roman" w:hAnsi="Times New Roman" w:cs="Times New Roman"/>
            <w:noProof/>
            <w:webHidden/>
            <w:color w:val="000000" w:themeColor="text1"/>
            <w:sz w:val="24"/>
            <w:szCs w:val="24"/>
          </w:rPr>
          <w:instrText xml:space="preserve"> PAGEREF _Toc240119024 \h </w:instrText>
        </w:r>
        <w:r w:rsidRPr="004D6E3E">
          <w:rPr>
            <w:rFonts w:ascii="Times New Roman" w:hAnsi="Times New Roman" w:cs="Times New Roman"/>
            <w:noProof/>
            <w:webHidden/>
            <w:color w:val="000000" w:themeColor="text1"/>
            <w:sz w:val="24"/>
            <w:szCs w:val="24"/>
          </w:rPr>
        </w:r>
        <w:r w:rsidRPr="004D6E3E">
          <w:rPr>
            <w:rFonts w:ascii="Times New Roman" w:hAnsi="Times New Roman" w:cs="Times New Roman"/>
            <w:noProof/>
            <w:webHidden/>
            <w:color w:val="000000" w:themeColor="text1"/>
            <w:sz w:val="24"/>
            <w:szCs w:val="24"/>
          </w:rPr>
          <w:fldChar w:fldCharType="separate"/>
        </w:r>
        <w:r w:rsidR="00976F2B">
          <w:rPr>
            <w:rFonts w:ascii="Times New Roman" w:hAnsi="Times New Roman" w:cs="Times New Roman"/>
            <w:noProof/>
            <w:webHidden/>
            <w:color w:val="000000" w:themeColor="text1"/>
            <w:sz w:val="24"/>
            <w:szCs w:val="24"/>
          </w:rPr>
          <w:t>13</w:t>
        </w:r>
        <w:r w:rsidRPr="004D6E3E">
          <w:rPr>
            <w:rFonts w:ascii="Times New Roman" w:hAnsi="Times New Roman" w:cs="Times New Roman"/>
            <w:noProof/>
            <w:webHidden/>
            <w:color w:val="000000" w:themeColor="text1"/>
            <w:sz w:val="24"/>
            <w:szCs w:val="24"/>
          </w:rPr>
          <w:fldChar w:fldCharType="end"/>
        </w:r>
      </w:hyperlink>
    </w:p>
    <w:p w:rsidR="004D6E3E" w:rsidRPr="004D6E3E" w:rsidRDefault="0093609B" w:rsidP="004D6E3E">
      <w:pPr>
        <w:spacing w:line="360" w:lineRule="auto"/>
        <w:jc w:val="center"/>
        <w:rPr>
          <w:rFonts w:ascii="Times New Roman" w:hAnsi="Times New Roman" w:cs="Times New Roman"/>
          <w:b/>
          <w:sz w:val="28"/>
          <w:szCs w:val="28"/>
        </w:rPr>
      </w:pPr>
      <w:r w:rsidRPr="004D6E3E">
        <w:rPr>
          <w:rFonts w:ascii="Times New Roman" w:hAnsi="Times New Roman" w:cs="Times New Roman"/>
          <w:b/>
          <w:color w:val="000000" w:themeColor="text1"/>
          <w:sz w:val="24"/>
          <w:szCs w:val="24"/>
        </w:rPr>
        <w:fldChar w:fldCharType="end"/>
      </w:r>
    </w:p>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Pr="002A3650" w:rsidRDefault="0093609B" w:rsidP="002A3650">
      <w:pPr>
        <w:spacing w:line="360" w:lineRule="auto"/>
        <w:jc w:val="center"/>
        <w:rPr>
          <w:rFonts w:ascii="Times New Roman" w:hAnsi="Times New Roman" w:cs="Times New Roman"/>
          <w:b/>
          <w:sz w:val="28"/>
          <w:szCs w:val="24"/>
        </w:rPr>
      </w:pPr>
      <w:r w:rsidRPr="002A3650">
        <w:rPr>
          <w:rFonts w:ascii="Times New Roman" w:hAnsi="Times New Roman" w:cs="Times New Roman"/>
          <w:b/>
          <w:sz w:val="28"/>
          <w:szCs w:val="24"/>
        </w:rPr>
        <w:lastRenderedPageBreak/>
        <w:t>List of Figures</w:t>
      </w:r>
    </w:p>
    <w:p w:rsidR="004D6E3E" w:rsidRPr="004D6E3E" w:rsidRDefault="0093609B" w:rsidP="004D6E3E">
      <w:pPr>
        <w:pStyle w:val="TableofFigures"/>
        <w:tabs>
          <w:tab w:val="right" w:leader="dot" w:pos="9350"/>
        </w:tabs>
        <w:spacing w:line="360" w:lineRule="auto"/>
        <w:jc w:val="center"/>
        <w:rPr>
          <w:rFonts w:ascii="Times New Roman" w:eastAsiaTheme="minorEastAsia" w:hAnsi="Times New Roman" w:cs="Times New Roman"/>
          <w:noProof/>
          <w:sz w:val="24"/>
          <w:szCs w:val="24"/>
          <w:lang w:val="en-GB"/>
        </w:rPr>
      </w:pPr>
      <w:r>
        <w:fldChar w:fldCharType="begin"/>
      </w:r>
      <w:r>
        <w:instrText xml:space="preserve"> TOC \h \z \c "Figure" </w:instrText>
      </w:r>
      <w:r>
        <w:fldChar w:fldCharType="separate"/>
      </w:r>
      <w:hyperlink w:anchor="_Toc240118915" w:history="1">
        <w:r w:rsidRPr="004D6E3E">
          <w:rPr>
            <w:rStyle w:val="Hyperlink"/>
            <w:rFonts w:ascii="Times New Roman" w:hAnsi="Times New Roman" w:cs="Times New Roman"/>
            <w:noProof/>
            <w:sz w:val="24"/>
            <w:szCs w:val="24"/>
          </w:rPr>
          <w:t>Figure 1: Bloomberg's European Headquarters Construction Design</w:t>
        </w:r>
        <w:r w:rsidRPr="004D6E3E">
          <w:rPr>
            <w:rFonts w:ascii="Times New Roman" w:hAnsi="Times New Roman" w:cs="Times New Roman"/>
            <w:noProof/>
            <w:webHidden/>
            <w:sz w:val="24"/>
            <w:szCs w:val="24"/>
          </w:rPr>
          <w:tab/>
        </w:r>
        <w:r w:rsidRPr="004D6E3E">
          <w:rPr>
            <w:rFonts w:ascii="Times New Roman" w:hAnsi="Times New Roman" w:cs="Times New Roman"/>
            <w:noProof/>
            <w:webHidden/>
            <w:sz w:val="24"/>
            <w:szCs w:val="24"/>
          </w:rPr>
          <w:fldChar w:fldCharType="begin"/>
        </w:r>
        <w:r w:rsidRPr="004D6E3E">
          <w:rPr>
            <w:rFonts w:ascii="Times New Roman" w:hAnsi="Times New Roman" w:cs="Times New Roman"/>
            <w:noProof/>
            <w:webHidden/>
            <w:sz w:val="24"/>
            <w:szCs w:val="24"/>
          </w:rPr>
          <w:instrText xml:space="preserve"> PAGEREF _Toc240118915 \h </w:instrText>
        </w:r>
        <w:r w:rsidRPr="004D6E3E">
          <w:rPr>
            <w:rFonts w:ascii="Times New Roman" w:hAnsi="Times New Roman" w:cs="Times New Roman"/>
            <w:noProof/>
            <w:webHidden/>
            <w:sz w:val="24"/>
            <w:szCs w:val="24"/>
          </w:rPr>
        </w:r>
        <w:r w:rsidRPr="004D6E3E">
          <w:rPr>
            <w:rFonts w:ascii="Times New Roman" w:hAnsi="Times New Roman" w:cs="Times New Roman"/>
            <w:noProof/>
            <w:webHidden/>
            <w:sz w:val="24"/>
            <w:szCs w:val="24"/>
          </w:rPr>
          <w:fldChar w:fldCharType="separate"/>
        </w:r>
        <w:r w:rsidR="00976F2B">
          <w:rPr>
            <w:rFonts w:ascii="Times New Roman" w:hAnsi="Times New Roman" w:cs="Times New Roman"/>
            <w:noProof/>
            <w:webHidden/>
            <w:sz w:val="24"/>
            <w:szCs w:val="24"/>
          </w:rPr>
          <w:t>7</w:t>
        </w:r>
        <w:r w:rsidRPr="004D6E3E">
          <w:rPr>
            <w:rFonts w:ascii="Times New Roman" w:hAnsi="Times New Roman" w:cs="Times New Roman"/>
            <w:noProof/>
            <w:webHidden/>
            <w:sz w:val="24"/>
            <w:szCs w:val="24"/>
          </w:rPr>
          <w:fldChar w:fldCharType="end"/>
        </w:r>
      </w:hyperlink>
    </w:p>
    <w:p w:rsidR="004D6E3E" w:rsidRPr="004D6E3E" w:rsidRDefault="0093609B" w:rsidP="004D6E3E">
      <w:pPr>
        <w:pStyle w:val="TableofFigures"/>
        <w:tabs>
          <w:tab w:val="right" w:leader="dot" w:pos="9350"/>
        </w:tabs>
        <w:spacing w:line="360" w:lineRule="auto"/>
        <w:jc w:val="center"/>
        <w:rPr>
          <w:rFonts w:ascii="Times New Roman" w:eastAsiaTheme="minorEastAsia" w:hAnsi="Times New Roman" w:cs="Times New Roman"/>
          <w:noProof/>
          <w:sz w:val="24"/>
          <w:szCs w:val="24"/>
          <w:lang w:val="en-GB"/>
        </w:rPr>
      </w:pPr>
      <w:hyperlink w:anchor="_Toc240118916" w:history="1">
        <w:r w:rsidRPr="004D6E3E">
          <w:rPr>
            <w:rStyle w:val="Hyperlink"/>
            <w:rFonts w:ascii="Times New Roman" w:hAnsi="Times New Roman" w:cs="Times New Roman"/>
            <w:noProof/>
            <w:sz w:val="24"/>
            <w:szCs w:val="24"/>
          </w:rPr>
          <w:t>Figure 2: Risk Assessment Matrix</w:t>
        </w:r>
        <w:r w:rsidRPr="004D6E3E">
          <w:rPr>
            <w:rFonts w:ascii="Times New Roman" w:hAnsi="Times New Roman" w:cs="Times New Roman"/>
            <w:noProof/>
            <w:webHidden/>
            <w:sz w:val="24"/>
            <w:szCs w:val="24"/>
          </w:rPr>
          <w:tab/>
        </w:r>
        <w:r w:rsidRPr="004D6E3E">
          <w:rPr>
            <w:rFonts w:ascii="Times New Roman" w:hAnsi="Times New Roman" w:cs="Times New Roman"/>
            <w:noProof/>
            <w:webHidden/>
            <w:sz w:val="24"/>
            <w:szCs w:val="24"/>
          </w:rPr>
          <w:fldChar w:fldCharType="begin"/>
        </w:r>
        <w:r w:rsidRPr="004D6E3E">
          <w:rPr>
            <w:rFonts w:ascii="Times New Roman" w:hAnsi="Times New Roman" w:cs="Times New Roman"/>
            <w:noProof/>
            <w:webHidden/>
            <w:sz w:val="24"/>
            <w:szCs w:val="24"/>
          </w:rPr>
          <w:instrText xml:space="preserve"> PAGEREF _Toc240118916 \h </w:instrText>
        </w:r>
        <w:r w:rsidRPr="004D6E3E">
          <w:rPr>
            <w:rFonts w:ascii="Times New Roman" w:hAnsi="Times New Roman" w:cs="Times New Roman"/>
            <w:noProof/>
            <w:webHidden/>
            <w:sz w:val="24"/>
            <w:szCs w:val="24"/>
          </w:rPr>
        </w:r>
        <w:r w:rsidRPr="004D6E3E">
          <w:rPr>
            <w:rFonts w:ascii="Times New Roman" w:hAnsi="Times New Roman" w:cs="Times New Roman"/>
            <w:noProof/>
            <w:webHidden/>
            <w:sz w:val="24"/>
            <w:szCs w:val="24"/>
          </w:rPr>
          <w:fldChar w:fldCharType="separate"/>
        </w:r>
        <w:r w:rsidR="00976F2B">
          <w:rPr>
            <w:rFonts w:ascii="Times New Roman" w:hAnsi="Times New Roman" w:cs="Times New Roman"/>
            <w:noProof/>
            <w:webHidden/>
            <w:sz w:val="24"/>
            <w:szCs w:val="24"/>
          </w:rPr>
          <w:t>12</w:t>
        </w:r>
        <w:r w:rsidRPr="004D6E3E">
          <w:rPr>
            <w:rFonts w:ascii="Times New Roman" w:hAnsi="Times New Roman" w:cs="Times New Roman"/>
            <w:noProof/>
            <w:webHidden/>
            <w:sz w:val="24"/>
            <w:szCs w:val="24"/>
          </w:rPr>
          <w:fldChar w:fldCharType="end"/>
        </w:r>
      </w:hyperlink>
    </w:p>
    <w:p w:rsidR="002A3650" w:rsidRDefault="0093609B" w:rsidP="002A3650">
      <w:r>
        <w:fldChar w:fldCharType="end"/>
      </w:r>
    </w:p>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Default="002A3650" w:rsidP="002A3650"/>
    <w:p w:rsidR="002A3650" w:rsidRPr="002A3650" w:rsidRDefault="002A3650" w:rsidP="002A3650"/>
    <w:p w:rsidR="00295FC9" w:rsidRPr="00424F0C" w:rsidRDefault="0093609B" w:rsidP="00424F0C">
      <w:pPr>
        <w:pStyle w:val="Heading1"/>
      </w:pPr>
      <w:r w:rsidRPr="00424F0C">
        <w:lastRenderedPageBreak/>
        <w:t>1.0 Introduction and Project Overview</w:t>
      </w:r>
      <w:bookmarkEnd w:id="0"/>
    </w:p>
    <w:p w:rsidR="00295FC9" w:rsidRPr="00424F0C" w:rsidRDefault="0093609B" w:rsidP="00424F0C">
      <w:pPr>
        <w:pStyle w:val="Heading2"/>
      </w:pPr>
      <w:bookmarkStart w:id="1" w:name="_Toc240115994"/>
      <w:r w:rsidRPr="00424F0C">
        <w:t>1.1 Context of the project and scope</w:t>
      </w:r>
      <w:bookmarkEnd w:id="1"/>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Bloomberg's 'European headquarters' is a significant commercial project within the city of London and lies between St. Paul's Cathedral and the Bank of England. </w:t>
      </w:r>
      <w:r w:rsidR="00187BD5" w:rsidRPr="00187BD5">
        <w:rPr>
          <w:rFonts w:ascii="Times New Roman" w:eastAsia="Times New Roman" w:hAnsi="Times New Roman" w:cs="Times New Roman"/>
          <w:color w:val="000000" w:themeColor="text1"/>
          <w:sz w:val="24"/>
          <w:szCs w:val="24"/>
        </w:rPr>
        <w:t>Designed by Foster + Partners</w:t>
      </w:r>
      <w:r w:rsidRPr="00424F0C">
        <w:rPr>
          <w:rFonts w:ascii="Times New Roman" w:eastAsia="Times New Roman" w:hAnsi="Times New Roman" w:cs="Times New Roman"/>
          <w:color w:val="000000" w:themeColor="text1"/>
          <w:sz w:val="24"/>
          <w:szCs w:val="24"/>
        </w:rPr>
        <w:t xml:space="preserve">, </w:t>
      </w:r>
      <w:r w:rsidR="00187BD5">
        <w:rPr>
          <w:rFonts w:ascii="Times New Roman" w:eastAsia="Times New Roman" w:hAnsi="Times New Roman" w:cs="Times New Roman"/>
          <w:color w:val="000000" w:themeColor="text1"/>
          <w:sz w:val="24"/>
          <w:szCs w:val="24"/>
        </w:rPr>
        <w:t xml:space="preserve">it </w:t>
      </w:r>
      <w:r w:rsidR="00187BD5" w:rsidRPr="00187BD5">
        <w:rPr>
          <w:rFonts w:ascii="Times New Roman" w:eastAsia="Times New Roman" w:hAnsi="Times New Roman" w:cs="Times New Roman"/>
          <w:color w:val="000000" w:themeColor="text1"/>
          <w:sz w:val="24"/>
          <w:szCs w:val="24"/>
        </w:rPr>
        <w:t>features two interconnected structures covering an area of 3.2 hectares and providing 1.1 million square</w:t>
      </w:r>
      <w:r w:rsidR="00187BD5">
        <w:rPr>
          <w:rFonts w:ascii="Times New Roman" w:eastAsia="Times New Roman" w:hAnsi="Times New Roman" w:cs="Times New Roman"/>
          <w:color w:val="000000" w:themeColor="text1"/>
          <w:sz w:val="24"/>
          <w:szCs w:val="24"/>
        </w:rPr>
        <w:t xml:space="preserve"> </w:t>
      </w:r>
      <w:r w:rsidR="00187BD5" w:rsidRPr="00187BD5">
        <w:rPr>
          <w:rFonts w:ascii="Times New Roman" w:eastAsia="Times New Roman" w:hAnsi="Times New Roman" w:cs="Times New Roman"/>
          <w:color w:val="000000" w:themeColor="text1"/>
          <w:sz w:val="24"/>
          <w:szCs w:val="24"/>
        </w:rPr>
        <w:t xml:space="preserve">feet of office area, public space, and retail units. Its </w:t>
      </w:r>
      <w:r w:rsidR="00187BD5">
        <w:rPr>
          <w:rFonts w:ascii="Times New Roman" w:eastAsia="Times New Roman" w:hAnsi="Times New Roman" w:cs="Times New Roman"/>
          <w:color w:val="000000" w:themeColor="text1"/>
          <w:sz w:val="24"/>
          <w:szCs w:val="24"/>
        </w:rPr>
        <w:t>purpose</w:t>
      </w:r>
      <w:r w:rsidR="00187BD5" w:rsidRPr="00187BD5">
        <w:rPr>
          <w:rFonts w:ascii="Times New Roman" w:eastAsia="Times New Roman" w:hAnsi="Times New Roman" w:cs="Times New Roman"/>
          <w:color w:val="000000" w:themeColor="text1"/>
          <w:sz w:val="24"/>
          <w:szCs w:val="24"/>
        </w:rPr>
        <w:t xml:space="preserve"> was to locate all London employees of Bloomberg in a sustainable place (Dp9.co.uk, 2022)</w:t>
      </w:r>
      <w:r w:rsidRPr="00424F0C">
        <w:rPr>
          <w:rFonts w:ascii="Times New Roman" w:eastAsia="Times New Roman" w:hAnsi="Times New Roman" w:cs="Times New Roman"/>
          <w:color w:val="000000" w:themeColor="text1"/>
          <w:sz w:val="24"/>
          <w:szCs w:val="24"/>
        </w:rPr>
        <w:t>.</w:t>
      </w:r>
    </w:p>
    <w:p w:rsidR="00295FC9" w:rsidRPr="00424F0C" w:rsidRDefault="0093609B" w:rsidP="00424F0C">
      <w:pPr>
        <w:pStyle w:val="Heading2"/>
      </w:pPr>
      <w:bookmarkStart w:id="2" w:name="_Toc240115995"/>
      <w:r w:rsidRPr="00424F0C">
        <w:t>1.2 Project aim and objectives</w:t>
      </w:r>
      <w:bookmarkEnd w:id="2"/>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project aimed to cons</w:t>
      </w:r>
      <w:r w:rsidRPr="00424F0C">
        <w:rPr>
          <w:rFonts w:ascii="Times New Roman" w:eastAsia="Times New Roman" w:hAnsi="Times New Roman" w:cs="Times New Roman"/>
          <w:color w:val="000000" w:themeColor="text1"/>
          <w:sz w:val="24"/>
          <w:szCs w:val="24"/>
        </w:rPr>
        <w:t xml:space="preserve">truct a consolidated and collaborative European establishment that accommodates the majority of Bloomberg's London workforce, while giving them a working environment through which they can harness an innovative, sustainable, and advanced work culture. </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w:t>
      </w:r>
      <w:r w:rsidRPr="00424F0C">
        <w:rPr>
          <w:rFonts w:ascii="Times New Roman" w:eastAsia="Times New Roman" w:hAnsi="Times New Roman" w:cs="Times New Roman"/>
          <w:color w:val="000000" w:themeColor="text1"/>
          <w:sz w:val="24"/>
          <w:szCs w:val="24"/>
        </w:rPr>
        <w:t xml:space="preserve"> objectives of the project were as follows.</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Firstly, to deliver enhanced quality involving office accommodations and an environment for workforce collaboration.</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Secondly, to deploy advanced engineering and building service-based systems that lead to an </w:t>
      </w:r>
      <w:r w:rsidRPr="00424F0C">
        <w:rPr>
          <w:rFonts w:ascii="Times New Roman" w:eastAsia="Times New Roman" w:hAnsi="Times New Roman" w:cs="Times New Roman"/>
          <w:color w:val="000000" w:themeColor="text1"/>
          <w:sz w:val="24"/>
          <w:szCs w:val="24"/>
        </w:rPr>
        <w:t>improvement of a building’s operations and carry out better construction prowess.</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Thirdly, to integrate </w:t>
      </w:r>
      <w:r w:rsidR="00A7668F">
        <w:rPr>
          <w:rFonts w:ascii="Times New Roman" w:eastAsia="Times New Roman" w:hAnsi="Times New Roman" w:cs="Times New Roman"/>
          <w:color w:val="000000" w:themeColor="text1"/>
          <w:sz w:val="24"/>
          <w:szCs w:val="24"/>
        </w:rPr>
        <w:t>public development perspectives</w:t>
      </w:r>
      <w:r w:rsidRPr="00424F0C">
        <w:rPr>
          <w:rFonts w:ascii="Times New Roman" w:eastAsia="Times New Roman" w:hAnsi="Times New Roman" w:cs="Times New Roman"/>
          <w:color w:val="000000" w:themeColor="text1"/>
          <w:sz w:val="24"/>
          <w:szCs w:val="24"/>
        </w:rPr>
        <w:t xml:space="preserve"> for better environmental performance. </w:t>
      </w:r>
    </w:p>
    <w:p w:rsidR="00295FC9" w:rsidRPr="00424F0C" w:rsidRDefault="0093609B" w:rsidP="00424F0C">
      <w:pPr>
        <w:pStyle w:val="Heading2"/>
      </w:pPr>
      <w:bookmarkStart w:id="3" w:name="_Toc240115996"/>
      <w:r w:rsidRPr="00424F0C">
        <w:t>1.3 Project timeline and construction phases</w:t>
      </w:r>
      <w:bookmarkEnd w:id="3"/>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A7668F">
        <w:rPr>
          <w:rFonts w:ascii="Times New Roman" w:eastAsia="Times New Roman" w:hAnsi="Times New Roman" w:cs="Times New Roman"/>
          <w:color w:val="000000" w:themeColor="text1"/>
          <w:sz w:val="24"/>
          <w:szCs w:val="24"/>
        </w:rPr>
        <w:t xml:space="preserve">It took several years for the </w:t>
      </w:r>
      <w:r w:rsidRPr="00A7668F">
        <w:rPr>
          <w:rFonts w:ascii="Times New Roman" w:eastAsia="Times New Roman" w:hAnsi="Times New Roman" w:cs="Times New Roman"/>
          <w:color w:val="000000" w:themeColor="text1"/>
          <w:sz w:val="24"/>
          <w:szCs w:val="24"/>
        </w:rPr>
        <w:t xml:space="preserve">project to finish, with the establishment of the Roman Mithraeum in 2010 (Netlify.app, 2021). In the year 2012, Sir Robert McAlpine was selected to complete the construction of this £550 million flagship (Cross, 2012). The construction works comprised two </w:t>
      </w:r>
      <w:r w:rsidRPr="00A7668F">
        <w:rPr>
          <w:rFonts w:ascii="Times New Roman" w:eastAsia="Times New Roman" w:hAnsi="Times New Roman" w:cs="Times New Roman"/>
          <w:color w:val="000000" w:themeColor="text1"/>
          <w:sz w:val="24"/>
          <w:szCs w:val="24"/>
        </w:rPr>
        <w:t>offices, communal spaces, engineering systems, and the entrance to the new Bank Underground station. The offices were opened in October 2017 (Foster Partners, 2017)</w:t>
      </w:r>
      <w:r w:rsidR="00C13208" w:rsidRPr="00424F0C">
        <w:rPr>
          <w:rFonts w:ascii="Times New Roman" w:eastAsia="Times New Roman" w:hAnsi="Times New Roman" w:cs="Times New Roman"/>
          <w:color w:val="000000" w:themeColor="text1"/>
          <w:sz w:val="24"/>
          <w:szCs w:val="24"/>
        </w:rPr>
        <w:t>. A depiction of the construction planning can be viewed in Figure 1.</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noProof/>
          <w:color w:val="000000" w:themeColor="text1"/>
          <w:sz w:val="24"/>
          <w:szCs w:val="24"/>
          <w:lang w:val="en-GB"/>
        </w:rPr>
        <w:lastRenderedPageBreak/>
        <w:drawing>
          <wp:inline distT="114300" distB="114300" distL="114300" distR="114300">
            <wp:extent cx="5943600" cy="2514600"/>
            <wp:effectExtent l="25400" t="25400" r="25400" b="25400"/>
            <wp:docPr id="1" name="image2.png"/>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8"/>
                    <a:stretch>
                      <a:fillRect/>
                    </a:stretch>
                  </pic:blipFill>
                  <pic:spPr>
                    <a:xfrm>
                      <a:off x="0" y="0"/>
                      <a:ext cx="5943600" cy="2514600"/>
                    </a:xfrm>
                    <a:prstGeom prst="rect">
                      <a:avLst/>
                    </a:prstGeom>
                    <a:ln w="25400">
                      <a:solidFill>
                        <a:srgbClr val="000000"/>
                      </a:solidFill>
                      <a:prstDash val="solid"/>
                    </a:ln>
                  </pic:spPr>
                </pic:pic>
              </a:graphicData>
            </a:graphic>
          </wp:inline>
        </w:drawing>
      </w:r>
    </w:p>
    <w:p w:rsidR="00295FC9" w:rsidRPr="004D6E3E" w:rsidRDefault="0093609B" w:rsidP="004D6E3E">
      <w:pPr>
        <w:pStyle w:val="Caption"/>
        <w:spacing w:line="360" w:lineRule="auto"/>
        <w:jc w:val="center"/>
        <w:rPr>
          <w:rFonts w:ascii="Times New Roman" w:eastAsia="Times New Roman" w:hAnsi="Times New Roman" w:cs="Times New Roman"/>
          <w:b w:val="0"/>
          <w:bCs w:val="0"/>
          <w:color w:val="000000" w:themeColor="text1"/>
          <w:sz w:val="36"/>
          <w:szCs w:val="24"/>
        </w:rPr>
      </w:pPr>
      <w:bookmarkStart w:id="4" w:name="_Toc240118915"/>
      <w:r w:rsidRPr="004D6E3E">
        <w:rPr>
          <w:rFonts w:ascii="Times New Roman" w:hAnsi="Times New Roman" w:cs="Times New Roman"/>
          <w:color w:val="000000" w:themeColor="text1"/>
          <w:sz w:val="24"/>
        </w:rPr>
        <w:t xml:space="preserve">Figure </w:t>
      </w:r>
      <w:r w:rsidRPr="004D6E3E">
        <w:rPr>
          <w:rFonts w:ascii="Times New Roman" w:hAnsi="Times New Roman" w:cs="Times New Roman"/>
          <w:color w:val="000000" w:themeColor="text1"/>
          <w:sz w:val="24"/>
        </w:rPr>
        <w:fldChar w:fldCharType="begin"/>
      </w:r>
      <w:r w:rsidRPr="004D6E3E">
        <w:rPr>
          <w:rFonts w:ascii="Times New Roman" w:hAnsi="Times New Roman" w:cs="Times New Roman"/>
          <w:color w:val="000000" w:themeColor="text1"/>
          <w:sz w:val="24"/>
        </w:rPr>
        <w:instrText xml:space="preserve"> SEQ Figure \</w:instrText>
      </w:r>
      <w:r w:rsidRPr="004D6E3E">
        <w:rPr>
          <w:rFonts w:ascii="Times New Roman" w:hAnsi="Times New Roman" w:cs="Times New Roman"/>
          <w:color w:val="000000" w:themeColor="text1"/>
          <w:sz w:val="24"/>
        </w:rPr>
        <w:instrText xml:space="preserve">* ARABIC </w:instrText>
      </w:r>
      <w:r w:rsidRPr="004D6E3E">
        <w:rPr>
          <w:rFonts w:ascii="Times New Roman" w:hAnsi="Times New Roman" w:cs="Times New Roman"/>
          <w:color w:val="000000" w:themeColor="text1"/>
          <w:sz w:val="24"/>
        </w:rPr>
        <w:fldChar w:fldCharType="separate"/>
      </w:r>
      <w:r>
        <w:rPr>
          <w:rFonts w:ascii="Times New Roman" w:hAnsi="Times New Roman" w:cs="Times New Roman"/>
          <w:noProof/>
          <w:color w:val="000000" w:themeColor="text1"/>
          <w:sz w:val="24"/>
        </w:rPr>
        <w:t>1</w:t>
      </w:r>
      <w:r w:rsidRPr="004D6E3E">
        <w:rPr>
          <w:rFonts w:ascii="Times New Roman" w:hAnsi="Times New Roman" w:cs="Times New Roman"/>
          <w:color w:val="000000" w:themeColor="text1"/>
          <w:sz w:val="24"/>
        </w:rPr>
        <w:fldChar w:fldCharType="end"/>
      </w:r>
      <w:r w:rsidRPr="004D6E3E">
        <w:rPr>
          <w:rFonts w:ascii="Times New Roman" w:hAnsi="Times New Roman" w:cs="Times New Roman"/>
          <w:color w:val="000000" w:themeColor="text1"/>
          <w:sz w:val="24"/>
        </w:rPr>
        <w:t>: Bloomberg's European Headquarters Construction Design</w:t>
      </w:r>
      <w:bookmarkEnd w:id="4"/>
    </w:p>
    <w:p w:rsidR="00295FC9" w:rsidRPr="00424F0C" w:rsidRDefault="0093609B">
      <w:pPr>
        <w:spacing w:line="360" w:lineRule="auto"/>
        <w:jc w:val="center"/>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(Source: https://www.architectsjournal.co.uk/buildings/building-study-foster-ramps-it-up-at-bloomberg)</w:t>
      </w:r>
    </w:p>
    <w:p w:rsidR="00295FC9" w:rsidRPr="00424F0C" w:rsidRDefault="0093609B" w:rsidP="00424F0C">
      <w:pPr>
        <w:pStyle w:val="Heading2"/>
      </w:pPr>
      <w:bookmarkStart w:id="5" w:name="_Toc240115997"/>
      <w:r w:rsidRPr="00424F0C">
        <w:t>1.4 Significance of the project</w:t>
      </w:r>
      <w:bookmarkEnd w:id="5"/>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A7668F">
        <w:rPr>
          <w:rFonts w:ascii="Times New Roman" w:eastAsia="Times New Roman" w:hAnsi="Times New Roman" w:cs="Times New Roman"/>
          <w:color w:val="000000" w:themeColor="text1"/>
          <w:sz w:val="24"/>
          <w:szCs w:val="24"/>
        </w:rPr>
        <w:t>The essence of this project stems from the amalgamat</w:t>
      </w:r>
      <w:r w:rsidRPr="00A7668F">
        <w:rPr>
          <w:rFonts w:ascii="Times New Roman" w:eastAsia="Times New Roman" w:hAnsi="Times New Roman" w:cs="Times New Roman"/>
          <w:color w:val="000000" w:themeColor="text1"/>
          <w:sz w:val="24"/>
          <w:szCs w:val="24"/>
        </w:rPr>
        <w:t>ion of architectural, engineering, and ecological goals with strict urban conditions. This accomplishment is supported by the score of 98.5% awarded to the project in terms of BREEAM Outstanding certification (Netlify.app, 2021)</w:t>
      </w:r>
      <w:r w:rsidR="00C13208" w:rsidRPr="00424F0C">
        <w:rPr>
          <w:rFonts w:ascii="Times New Roman" w:eastAsia="Times New Roman" w:hAnsi="Times New Roman" w:cs="Times New Roman"/>
          <w:color w:val="000000" w:themeColor="text1"/>
          <w:sz w:val="24"/>
          <w:szCs w:val="24"/>
        </w:rPr>
        <w:t>. Th</w:t>
      </w:r>
      <w:r>
        <w:rPr>
          <w:rFonts w:ascii="Times New Roman" w:eastAsia="Times New Roman" w:hAnsi="Times New Roman" w:cs="Times New Roman"/>
          <w:color w:val="000000" w:themeColor="text1"/>
          <w:sz w:val="24"/>
          <w:szCs w:val="24"/>
        </w:rPr>
        <w:t>is</w:t>
      </w:r>
      <w:r w:rsidR="00C13208" w:rsidRPr="00424F0C">
        <w:rPr>
          <w:rFonts w:ascii="Times New Roman" w:eastAsia="Times New Roman" w:hAnsi="Times New Roman" w:cs="Times New Roman"/>
          <w:color w:val="000000" w:themeColor="text1"/>
          <w:sz w:val="24"/>
          <w:szCs w:val="24"/>
        </w:rPr>
        <w:t xml:space="preserve"> provide</w:t>
      </w:r>
      <w:r>
        <w:rPr>
          <w:rFonts w:ascii="Times New Roman" w:eastAsia="Times New Roman" w:hAnsi="Times New Roman" w:cs="Times New Roman"/>
          <w:color w:val="000000" w:themeColor="text1"/>
          <w:sz w:val="24"/>
          <w:szCs w:val="24"/>
        </w:rPr>
        <w:t>s</w:t>
      </w:r>
      <w:r w:rsidR="00C13208" w:rsidRPr="00424F0C">
        <w:rPr>
          <w:rFonts w:ascii="Times New Roman" w:eastAsia="Times New Roman" w:hAnsi="Times New Roman" w:cs="Times New Roman"/>
          <w:color w:val="000000" w:themeColor="text1"/>
          <w:sz w:val="24"/>
          <w:szCs w:val="24"/>
        </w:rPr>
        <w:t xml:space="preserve"> the basis for </w:t>
      </w:r>
      <w:r>
        <w:rPr>
          <w:rFonts w:ascii="Times New Roman" w:eastAsia="Times New Roman" w:hAnsi="Times New Roman" w:cs="Times New Roman"/>
          <w:color w:val="000000" w:themeColor="text1"/>
          <w:sz w:val="24"/>
          <w:szCs w:val="24"/>
        </w:rPr>
        <w:t xml:space="preserve">analysing </w:t>
      </w:r>
      <w:r w:rsidR="00C13208" w:rsidRPr="00424F0C">
        <w:rPr>
          <w:rFonts w:ascii="Times New Roman" w:eastAsia="Times New Roman" w:hAnsi="Times New Roman" w:cs="Times New Roman"/>
          <w:color w:val="000000" w:themeColor="text1"/>
          <w:sz w:val="24"/>
          <w:szCs w:val="24"/>
        </w:rPr>
        <w:t>change management and risk management in the following sections.</w:t>
      </w:r>
    </w:p>
    <w:p w:rsidR="00295FC9" w:rsidRPr="00424F0C" w:rsidRDefault="0093609B" w:rsidP="00424F0C">
      <w:pPr>
        <w:pStyle w:val="Heading1"/>
      </w:pPr>
      <w:bookmarkStart w:id="6" w:name="_Toc240115998"/>
      <w:r w:rsidRPr="00424F0C">
        <w:t>2.0 Change control mechanisms in construction</w:t>
      </w:r>
      <w:bookmarkEnd w:id="6"/>
    </w:p>
    <w:p w:rsidR="00295FC9" w:rsidRPr="00424F0C" w:rsidRDefault="0093609B" w:rsidP="00424F0C">
      <w:pPr>
        <w:pStyle w:val="Heading2"/>
      </w:pPr>
      <w:bookmarkStart w:id="7" w:name="_Toc240115999"/>
      <w:r w:rsidRPr="00424F0C">
        <w:t>2.1 Change in construction and other unexpected issues</w:t>
      </w:r>
      <w:bookmarkEnd w:id="7"/>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187BD5">
        <w:rPr>
          <w:rFonts w:ascii="Times New Roman" w:eastAsia="Times New Roman" w:hAnsi="Times New Roman" w:cs="Times New Roman"/>
          <w:color w:val="000000" w:themeColor="text1"/>
          <w:sz w:val="24"/>
          <w:szCs w:val="24"/>
        </w:rPr>
        <w:t>There may be multiple reasons for variations in projects, includi</w:t>
      </w:r>
      <w:r w:rsidRPr="00187BD5">
        <w:rPr>
          <w:rFonts w:ascii="Times New Roman" w:eastAsia="Times New Roman" w:hAnsi="Times New Roman" w:cs="Times New Roman"/>
          <w:color w:val="000000" w:themeColor="text1"/>
          <w:sz w:val="24"/>
          <w:szCs w:val="24"/>
        </w:rPr>
        <w:t>ng conception and design issues, ineffective management, changes in technology, and external factors</w:t>
      </w:r>
      <w:r>
        <w:rPr>
          <w:rFonts w:ascii="Times New Roman" w:eastAsia="Times New Roman" w:hAnsi="Times New Roman" w:cs="Times New Roman"/>
          <w:color w:val="000000" w:themeColor="text1"/>
          <w:sz w:val="24"/>
          <w:szCs w:val="24"/>
        </w:rPr>
        <w:t xml:space="preserve"> </w:t>
      </w:r>
      <w:r w:rsidRPr="00187BD5">
        <w:rPr>
          <w:rFonts w:ascii="Times New Roman" w:eastAsia="Times New Roman" w:hAnsi="Times New Roman" w:cs="Times New Roman"/>
          <w:color w:val="000000" w:themeColor="text1"/>
          <w:sz w:val="24"/>
          <w:szCs w:val="24"/>
        </w:rPr>
        <w:t>(Gunduz and Mohammad, 2020; Padala et al., 2022). Based on an analysis of 3951 changes in 19 construction projects, Padala et al. (2022) identified 85 reas</w:t>
      </w:r>
      <w:r w:rsidRPr="00187BD5">
        <w:rPr>
          <w:rFonts w:ascii="Times New Roman" w:eastAsia="Times New Roman" w:hAnsi="Times New Roman" w:cs="Times New Roman"/>
          <w:color w:val="000000" w:themeColor="text1"/>
          <w:sz w:val="24"/>
          <w:szCs w:val="24"/>
        </w:rPr>
        <w:t>ons and 45 consequences of changes in projects. Given this, it is necessary to evaluate the effects of change on cost, schedule, productivity, quality, and stakeholders’ relations</w:t>
      </w:r>
      <w:r w:rsidR="00C13208" w:rsidRPr="00424F0C">
        <w:rPr>
          <w:rFonts w:ascii="Times New Roman" w:eastAsia="Times New Roman" w:hAnsi="Times New Roman" w:cs="Times New Roman"/>
          <w:color w:val="000000" w:themeColor="text1"/>
          <w:sz w:val="24"/>
          <w:szCs w:val="24"/>
        </w:rPr>
        <w:t>.</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187BD5">
        <w:rPr>
          <w:rFonts w:ascii="Times New Roman" w:eastAsia="Times New Roman" w:hAnsi="Times New Roman" w:cs="Times New Roman"/>
          <w:color w:val="000000" w:themeColor="text1"/>
          <w:sz w:val="24"/>
          <w:szCs w:val="24"/>
        </w:rPr>
        <w:lastRenderedPageBreak/>
        <w:t>The Bloomberg project is an excellent example of how unforeseen site condit</w:t>
      </w:r>
      <w:r w:rsidRPr="00187BD5">
        <w:rPr>
          <w:rFonts w:ascii="Times New Roman" w:eastAsia="Times New Roman" w:hAnsi="Times New Roman" w:cs="Times New Roman"/>
          <w:color w:val="000000" w:themeColor="text1"/>
          <w:sz w:val="24"/>
          <w:szCs w:val="24"/>
        </w:rPr>
        <w:t>ions lead to significant changes. The excavation and restoration of the Roman Temple of Mithras resulted in delaying construction and increasing costs (Foster Partners, 2017). In response to these developments, subcontractors carried out revisions of the i</w:t>
      </w:r>
      <w:r w:rsidRPr="00187BD5">
        <w:rPr>
          <w:rFonts w:ascii="Times New Roman" w:eastAsia="Times New Roman" w:hAnsi="Times New Roman" w:cs="Times New Roman"/>
          <w:color w:val="000000" w:themeColor="text1"/>
          <w:sz w:val="24"/>
          <w:szCs w:val="24"/>
        </w:rPr>
        <w:t>nitial versions of both temporary and permanent works, which led to the reduction of construction time by more than two months (Robert Bird Group, 2016)</w:t>
      </w:r>
      <w:r w:rsidR="00C13208" w:rsidRPr="00424F0C">
        <w:rPr>
          <w:rFonts w:ascii="Times New Roman" w:eastAsia="Times New Roman" w:hAnsi="Times New Roman" w:cs="Times New Roman"/>
          <w:color w:val="000000" w:themeColor="text1"/>
          <w:sz w:val="24"/>
          <w:szCs w:val="24"/>
        </w:rPr>
        <w:t>.</w:t>
      </w:r>
    </w:p>
    <w:p w:rsidR="00295FC9" w:rsidRPr="00424F0C" w:rsidRDefault="0093609B" w:rsidP="00424F0C">
      <w:pPr>
        <w:pStyle w:val="Heading2"/>
      </w:pPr>
      <w:bookmarkStart w:id="8" w:name="_Toc240116000"/>
      <w:r w:rsidRPr="00424F0C">
        <w:t>2.2 Change control process involving large-scale projects</w:t>
      </w:r>
      <w:bookmarkEnd w:id="8"/>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E36B26">
        <w:rPr>
          <w:rFonts w:ascii="Times New Roman" w:eastAsia="Times New Roman" w:hAnsi="Times New Roman" w:cs="Times New Roman"/>
          <w:color w:val="000000" w:themeColor="text1"/>
          <w:sz w:val="24"/>
          <w:szCs w:val="24"/>
        </w:rPr>
        <w:t>The change control process comprises identif</w:t>
      </w:r>
      <w:r w:rsidRPr="00E36B26">
        <w:rPr>
          <w:rFonts w:ascii="Times New Roman" w:eastAsia="Times New Roman" w:hAnsi="Times New Roman" w:cs="Times New Roman"/>
          <w:color w:val="000000" w:themeColor="text1"/>
          <w:sz w:val="24"/>
          <w:szCs w:val="24"/>
        </w:rPr>
        <w:t xml:space="preserve">ying and documenting </w:t>
      </w:r>
      <w:r>
        <w:rPr>
          <w:rFonts w:ascii="Times New Roman" w:eastAsia="Times New Roman" w:hAnsi="Times New Roman" w:cs="Times New Roman"/>
          <w:color w:val="000000" w:themeColor="text1"/>
          <w:sz w:val="24"/>
          <w:szCs w:val="24"/>
        </w:rPr>
        <w:t>changes</w:t>
      </w:r>
      <w:r w:rsidRPr="00E36B26">
        <w:rPr>
          <w:rFonts w:ascii="Times New Roman" w:eastAsia="Times New Roman" w:hAnsi="Times New Roman" w:cs="Times New Roman"/>
          <w:color w:val="000000" w:themeColor="text1"/>
          <w:sz w:val="24"/>
          <w:szCs w:val="24"/>
        </w:rPr>
        <w:t xml:space="preserve">, evaluating cost, schedule, and risk, obtaining approvals, implementing the changes, and evaluating the results (Naji et al., 2022). This is </w:t>
      </w:r>
      <w:r>
        <w:rPr>
          <w:rFonts w:ascii="Times New Roman" w:eastAsia="Times New Roman" w:hAnsi="Times New Roman" w:cs="Times New Roman"/>
          <w:color w:val="000000" w:themeColor="text1"/>
          <w:sz w:val="24"/>
          <w:szCs w:val="24"/>
        </w:rPr>
        <w:t>essential</w:t>
      </w:r>
      <w:r w:rsidRPr="00E36B26">
        <w:rPr>
          <w:rFonts w:ascii="Times New Roman" w:eastAsia="Times New Roman" w:hAnsi="Times New Roman" w:cs="Times New Roman"/>
          <w:color w:val="000000" w:themeColor="text1"/>
          <w:sz w:val="24"/>
          <w:szCs w:val="24"/>
        </w:rPr>
        <w:t xml:space="preserve"> because poorly implemented changes can generate the need for rework, cause d</w:t>
      </w:r>
      <w:r w:rsidRPr="00E36B26">
        <w:rPr>
          <w:rFonts w:ascii="Times New Roman" w:eastAsia="Times New Roman" w:hAnsi="Times New Roman" w:cs="Times New Roman"/>
          <w:color w:val="000000" w:themeColor="text1"/>
          <w:sz w:val="24"/>
          <w:szCs w:val="24"/>
        </w:rPr>
        <w:t>isruptions, and lead to productivity losses (Love et al., 2019). For instance, 95 construction projects show that the average change orders were equal to 5.9%, cost overruns were equal to 3.0%, whereas for schedule overruns, the average was 7.4%, demonstra</w:t>
      </w:r>
      <w:r w:rsidRPr="00E36B26">
        <w:rPr>
          <w:rFonts w:ascii="Times New Roman" w:eastAsia="Times New Roman" w:hAnsi="Times New Roman" w:cs="Times New Roman"/>
          <w:color w:val="000000" w:themeColor="text1"/>
          <w:sz w:val="24"/>
          <w:szCs w:val="24"/>
        </w:rPr>
        <w:t xml:space="preserve">ting the usefulness of an efficient change control </w:t>
      </w:r>
      <w:r>
        <w:rPr>
          <w:rFonts w:ascii="Times New Roman" w:eastAsia="Times New Roman" w:hAnsi="Times New Roman" w:cs="Times New Roman"/>
          <w:color w:val="000000" w:themeColor="text1"/>
          <w:sz w:val="24"/>
          <w:szCs w:val="24"/>
        </w:rPr>
        <w:t>process (Shrestha et al., 2019)</w:t>
      </w:r>
      <w:r w:rsidR="00C13208" w:rsidRPr="00424F0C">
        <w:rPr>
          <w:rFonts w:ascii="Times New Roman" w:eastAsia="Times New Roman" w:hAnsi="Times New Roman" w:cs="Times New Roman"/>
          <w:color w:val="000000" w:themeColor="text1"/>
          <w:sz w:val="24"/>
          <w:szCs w:val="24"/>
        </w:rPr>
        <w:t>.</w:t>
      </w:r>
    </w:p>
    <w:p w:rsidR="00295FC9" w:rsidRPr="00424F0C" w:rsidRDefault="0093609B" w:rsidP="00424F0C">
      <w:pPr>
        <w:pStyle w:val="Heading2"/>
      </w:pPr>
      <w:bookmarkStart w:id="9" w:name="_Toc240116001"/>
      <w:r w:rsidRPr="00424F0C">
        <w:t>2.3 Application to the Bloomberg Building</w:t>
      </w:r>
      <w:bookmarkEnd w:id="9"/>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At the initial stage of project execution, </w:t>
      </w:r>
      <w:r w:rsidR="00E36B26">
        <w:rPr>
          <w:rFonts w:ascii="Times New Roman" w:eastAsia="Times New Roman" w:hAnsi="Times New Roman" w:cs="Times New Roman"/>
          <w:color w:val="000000" w:themeColor="text1"/>
          <w:sz w:val="24"/>
          <w:szCs w:val="24"/>
        </w:rPr>
        <w:t>changes need</w:t>
      </w:r>
      <w:r w:rsidR="00E36B26" w:rsidRPr="00E36B26">
        <w:rPr>
          <w:rFonts w:ascii="Times New Roman" w:eastAsia="Times New Roman" w:hAnsi="Times New Roman" w:cs="Times New Roman"/>
          <w:color w:val="000000" w:themeColor="text1"/>
          <w:sz w:val="24"/>
          <w:szCs w:val="24"/>
        </w:rPr>
        <w:t xml:space="preserve"> to be logged and given a reference number. The project manager is responsible for the programme and </w:t>
      </w:r>
      <w:r w:rsidR="00E36B26">
        <w:rPr>
          <w:rFonts w:ascii="Times New Roman" w:eastAsia="Times New Roman" w:hAnsi="Times New Roman" w:cs="Times New Roman"/>
          <w:color w:val="000000" w:themeColor="text1"/>
          <w:sz w:val="24"/>
          <w:szCs w:val="24"/>
        </w:rPr>
        <w:t>technical</w:t>
      </w:r>
      <w:r w:rsidR="00E36B26" w:rsidRPr="00E36B26">
        <w:rPr>
          <w:rFonts w:ascii="Times New Roman" w:eastAsia="Times New Roman" w:hAnsi="Times New Roman" w:cs="Times New Roman"/>
          <w:color w:val="000000" w:themeColor="text1"/>
          <w:sz w:val="24"/>
          <w:szCs w:val="24"/>
        </w:rPr>
        <w:t xml:space="preserve"> aspects; the design team evaluates feasibility, and contractors provide information about resources and construction potential. The commercial manager checks that costs and contractual aspects are managed before getting a go-ahead from the client. The importance of collaboration in the process of change orders is derived from the fact that changes have a significant influence on project performance and stakeholders (Nguyen and Do, 2021)</w:t>
      </w:r>
      <w:r w:rsidRPr="00424F0C">
        <w:rPr>
          <w:rFonts w:ascii="Times New Roman" w:eastAsia="Times New Roman" w:hAnsi="Times New Roman" w:cs="Times New Roman"/>
          <w:color w:val="000000" w:themeColor="text1"/>
          <w:sz w:val="24"/>
          <w:szCs w:val="24"/>
        </w:rPr>
        <w:t>.</w:t>
      </w:r>
    </w:p>
    <w:p w:rsidR="00295FC9" w:rsidRPr="00424F0C" w:rsidRDefault="0093609B" w:rsidP="00424F0C">
      <w:pPr>
        <w:pStyle w:val="Heading2"/>
      </w:pPr>
      <w:bookmarkStart w:id="10" w:name="_Toc240116002"/>
      <w:r w:rsidRPr="00424F0C">
        <w:t>2.4 Control change register</w:t>
      </w:r>
      <w:bookmarkEnd w:id="10"/>
    </w:p>
    <w:p w:rsidR="00295FC9" w:rsidRPr="00424F0C" w:rsidRDefault="00295FC9">
      <w:pPr>
        <w:spacing w:line="360" w:lineRule="auto"/>
        <w:jc w:val="both"/>
        <w:rPr>
          <w:rFonts w:ascii="Times New Roman" w:eastAsia="Times New Roman" w:hAnsi="Times New Roman" w:cs="Times New Roman"/>
          <w:color w:val="000000" w:themeColor="text1"/>
          <w:sz w:val="24"/>
          <w:szCs w:val="24"/>
        </w:rPr>
      </w:pPr>
    </w:p>
    <w:tbl>
      <w:tblPr>
        <w:tblStyle w:val="a"/>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22"/>
        <w:gridCol w:w="1366"/>
        <w:gridCol w:w="1268"/>
        <w:gridCol w:w="1268"/>
        <w:gridCol w:w="1268"/>
        <w:gridCol w:w="1700"/>
        <w:gridCol w:w="1268"/>
      </w:tblGrid>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 xml:space="preserve">Possible Change </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 xml:space="preserve">Cause of the change </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Expense-related Impact</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 xml:space="preserve">Programme Impact </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 xml:space="preserve">Risk Impact </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Proposed Responses</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b/>
                <w:bCs/>
                <w:color w:val="000000" w:themeColor="text1"/>
                <w:sz w:val="20"/>
                <w:szCs w:val="20"/>
              </w:rPr>
            </w:pPr>
            <w:r w:rsidRPr="00424F0C">
              <w:rPr>
                <w:rFonts w:ascii="Times New Roman" w:eastAsia="Times New Roman" w:hAnsi="Times New Roman" w:cs="Times New Roman"/>
                <w:b/>
                <w:bCs/>
                <w:color w:val="000000" w:themeColor="text1"/>
                <w:sz w:val="20"/>
                <w:szCs w:val="20"/>
              </w:rPr>
              <w:t xml:space="preserve">Approval by Authorised </w:t>
            </w:r>
            <w:r w:rsidRPr="00424F0C">
              <w:rPr>
                <w:rFonts w:ascii="Times New Roman" w:eastAsia="Times New Roman" w:hAnsi="Times New Roman" w:cs="Times New Roman"/>
                <w:b/>
                <w:bCs/>
                <w:color w:val="000000" w:themeColor="text1"/>
                <w:sz w:val="20"/>
                <w:szCs w:val="20"/>
              </w:rPr>
              <w:lastRenderedPageBreak/>
              <w:t>Personnel</w:t>
            </w:r>
          </w:p>
        </w:tc>
      </w:tr>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lastRenderedPageBreak/>
              <w:t>Archaeological activity impacting sequence of construction work</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Unforeseen archaeological excavationary circumstances around the construction site </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High</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High</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High </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Reprogramming the works already affected; seeking other acceleration options.</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Client with Project Manager</w:t>
            </w:r>
          </w:p>
        </w:tc>
      </w:tr>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Temporary works to be redesigned </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Structural activity-related constructions to be accelerated</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Medium </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Positive depending on success </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Medium </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Reviewing technical redesign options and overall constructability </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Project Manager and Design Team </w:t>
            </w:r>
          </w:p>
        </w:tc>
      </w:tr>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Method of construction undergoing modification </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Sequencing issues or site-related ordeals like hard gravel or porous soil</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Looking into alternative methods before final authorisation</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Contractor and Design Team </w:t>
            </w:r>
          </w:p>
        </w:tc>
      </w:tr>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Substitution of construction material or resources </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Availability issue involving raw materials and construction materials</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Assessing costs, </w:t>
            </w:r>
            <w:r w:rsidRPr="00424F0C">
              <w:rPr>
                <w:rFonts w:ascii="Times New Roman" w:eastAsia="Times New Roman" w:hAnsi="Times New Roman" w:cs="Times New Roman"/>
                <w:color w:val="000000" w:themeColor="text1"/>
                <w:sz w:val="20"/>
                <w:szCs w:val="20"/>
              </w:rPr>
              <w:t>performance, and other factors for equivalent or alternative options</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Commercial Manager and Client</w:t>
            </w:r>
          </w:p>
        </w:tc>
      </w:tr>
      <w:tr w:rsidR="00666FC3" w:rsidTr="00A7668F">
        <w:tc>
          <w:tcPr>
            <w:tcW w:w="74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Scope adjustment from client-driven agenda</w:t>
            </w:r>
          </w:p>
        </w:tc>
        <w:tc>
          <w:tcPr>
            <w:tcW w:w="714"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Revision of operational requirements</w:t>
            </w:r>
          </w:p>
        </w:tc>
        <w:tc>
          <w:tcPr>
            <w:tcW w:w="663"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High</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Medium</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High</w:t>
            </w:r>
          </w:p>
        </w:tc>
        <w:tc>
          <w:tcPr>
            <w:tcW w:w="889" w:type="pct"/>
            <w:shd w:val="clear" w:color="auto" w:fill="auto"/>
            <w:tcMar>
              <w:top w:w="100" w:type="dxa"/>
              <w:left w:w="100" w:type="dxa"/>
              <w:bottom w:w="100" w:type="dxa"/>
              <w:right w:w="100" w:type="dxa"/>
            </w:tcMar>
          </w:tcPr>
          <w:p w:rsidR="00295FC9" w:rsidRPr="00424F0C" w:rsidRDefault="0093609B">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Formal variation assessment and approval </w:t>
            </w:r>
          </w:p>
        </w:tc>
        <w:tc>
          <w:tcPr>
            <w:tcW w:w="663" w:type="pct"/>
            <w:shd w:val="clear" w:color="auto" w:fill="auto"/>
            <w:tcMar>
              <w:top w:w="100" w:type="dxa"/>
              <w:left w:w="100" w:type="dxa"/>
              <w:bottom w:w="100" w:type="dxa"/>
              <w:right w:w="100" w:type="dxa"/>
            </w:tcMar>
          </w:tcPr>
          <w:p w:rsidR="00295FC9" w:rsidRPr="00424F0C" w:rsidRDefault="0093609B">
            <w:pPr>
              <w:widowControl w:val="0"/>
              <w:spacing w:line="360" w:lineRule="auto"/>
              <w:jc w:val="center"/>
              <w:rPr>
                <w:rFonts w:ascii="Times New Roman" w:eastAsia="Times New Roman" w:hAnsi="Times New Roman" w:cs="Times New Roman"/>
                <w:color w:val="000000" w:themeColor="text1"/>
                <w:sz w:val="20"/>
                <w:szCs w:val="20"/>
              </w:rPr>
            </w:pPr>
            <w:r w:rsidRPr="00424F0C">
              <w:rPr>
                <w:rFonts w:ascii="Times New Roman" w:eastAsia="Times New Roman" w:hAnsi="Times New Roman" w:cs="Times New Roman"/>
                <w:color w:val="000000" w:themeColor="text1"/>
                <w:sz w:val="20"/>
                <w:szCs w:val="20"/>
              </w:rPr>
              <w:t xml:space="preserve">Commercial </w:t>
            </w:r>
            <w:r w:rsidRPr="00424F0C">
              <w:rPr>
                <w:rFonts w:ascii="Times New Roman" w:eastAsia="Times New Roman" w:hAnsi="Times New Roman" w:cs="Times New Roman"/>
                <w:color w:val="000000" w:themeColor="text1"/>
                <w:sz w:val="20"/>
                <w:szCs w:val="20"/>
              </w:rPr>
              <w:t>Manager and Client</w:t>
            </w:r>
          </w:p>
        </w:tc>
      </w:tr>
    </w:tbl>
    <w:p w:rsidR="004D6E3E" w:rsidRDefault="004D6E3E" w:rsidP="004D6E3E">
      <w:pPr>
        <w:pStyle w:val="Caption"/>
        <w:keepNext/>
        <w:jc w:val="center"/>
        <w:rPr>
          <w:rFonts w:ascii="Times New Roman" w:hAnsi="Times New Roman" w:cs="Times New Roman"/>
          <w:color w:val="000000" w:themeColor="text1"/>
          <w:sz w:val="24"/>
          <w:szCs w:val="24"/>
        </w:rPr>
      </w:pPr>
    </w:p>
    <w:p w:rsidR="004D6E3E" w:rsidRPr="004D6E3E" w:rsidRDefault="0093609B" w:rsidP="004D6E3E">
      <w:pPr>
        <w:pStyle w:val="Caption"/>
        <w:spacing w:line="360" w:lineRule="auto"/>
        <w:jc w:val="center"/>
        <w:rPr>
          <w:rFonts w:ascii="Times New Roman" w:hAnsi="Times New Roman" w:cs="Times New Roman"/>
          <w:color w:val="000000" w:themeColor="text1"/>
          <w:sz w:val="24"/>
          <w:szCs w:val="24"/>
        </w:rPr>
      </w:pPr>
      <w:bookmarkStart w:id="11" w:name="_Toc240119023"/>
      <w:r w:rsidRPr="004D6E3E">
        <w:rPr>
          <w:rFonts w:ascii="Times New Roman" w:hAnsi="Times New Roman" w:cs="Times New Roman"/>
          <w:color w:val="000000" w:themeColor="text1"/>
          <w:sz w:val="24"/>
          <w:szCs w:val="24"/>
        </w:rPr>
        <w:t xml:space="preserve">Table </w:t>
      </w:r>
      <w:r w:rsidRPr="004D6E3E">
        <w:rPr>
          <w:rFonts w:ascii="Times New Roman" w:hAnsi="Times New Roman" w:cs="Times New Roman"/>
          <w:color w:val="000000" w:themeColor="text1"/>
          <w:sz w:val="24"/>
          <w:szCs w:val="24"/>
        </w:rPr>
        <w:fldChar w:fldCharType="begin"/>
      </w:r>
      <w:r w:rsidRPr="004D6E3E">
        <w:rPr>
          <w:rFonts w:ascii="Times New Roman" w:hAnsi="Times New Roman" w:cs="Times New Roman"/>
          <w:color w:val="000000" w:themeColor="text1"/>
          <w:sz w:val="24"/>
          <w:szCs w:val="24"/>
        </w:rPr>
        <w:instrText xml:space="preserve"> SEQ Table \* ARABIC </w:instrText>
      </w:r>
      <w:r w:rsidRPr="004D6E3E">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w:t>
      </w:r>
      <w:r w:rsidRPr="004D6E3E">
        <w:rPr>
          <w:rFonts w:ascii="Times New Roman" w:hAnsi="Times New Roman" w:cs="Times New Roman"/>
          <w:color w:val="000000" w:themeColor="text1"/>
          <w:sz w:val="24"/>
          <w:szCs w:val="24"/>
        </w:rPr>
        <w:fldChar w:fldCharType="end"/>
      </w:r>
      <w:r w:rsidRPr="004D6E3E">
        <w:rPr>
          <w:rFonts w:ascii="Times New Roman" w:hAnsi="Times New Roman" w:cs="Times New Roman"/>
          <w:color w:val="000000" w:themeColor="text1"/>
          <w:sz w:val="24"/>
          <w:szCs w:val="24"/>
        </w:rPr>
        <w:t>: Control Change Register</w:t>
      </w:r>
      <w:bookmarkEnd w:id="11"/>
    </w:p>
    <w:p w:rsidR="00295FC9" w:rsidRPr="00424F0C" w:rsidRDefault="0093609B">
      <w:pPr>
        <w:spacing w:line="360" w:lineRule="auto"/>
        <w:jc w:val="center"/>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lastRenderedPageBreak/>
        <w:t xml:space="preserve"> </w:t>
      </w:r>
      <w:r w:rsidR="00C13208" w:rsidRPr="00424F0C">
        <w:rPr>
          <w:rFonts w:ascii="Times New Roman" w:eastAsia="Times New Roman" w:hAnsi="Times New Roman" w:cs="Times New Roman"/>
          <w:color w:val="000000" w:themeColor="text1"/>
          <w:sz w:val="24"/>
          <w:szCs w:val="24"/>
        </w:rPr>
        <w:t>(Source: Gunduz and Mohammad, 2020; Padala et al., 2022; Love et al., 2019)</w:t>
      </w:r>
    </w:p>
    <w:p w:rsidR="00295FC9" w:rsidRPr="00424F0C" w:rsidRDefault="0093609B" w:rsidP="00424F0C">
      <w:pPr>
        <w:pStyle w:val="Heading2"/>
      </w:pPr>
      <w:bookmarkStart w:id="12" w:name="_Toc240116003"/>
      <w:r w:rsidRPr="00424F0C">
        <w:t>2.5 Commercial implications involving change</w:t>
      </w:r>
      <w:bookmarkEnd w:id="12"/>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E36B26">
        <w:rPr>
          <w:rFonts w:ascii="Times New Roman" w:eastAsia="Times New Roman" w:hAnsi="Times New Roman" w:cs="Times New Roman"/>
          <w:color w:val="000000" w:themeColor="text1"/>
          <w:sz w:val="24"/>
          <w:szCs w:val="24"/>
        </w:rPr>
        <w:t>Change management is important for safeguarding business</w:t>
      </w:r>
      <w:r w:rsidRPr="00E36B26">
        <w:rPr>
          <w:rFonts w:ascii="Times New Roman" w:eastAsia="Times New Roman" w:hAnsi="Times New Roman" w:cs="Times New Roman"/>
          <w:color w:val="000000" w:themeColor="text1"/>
          <w:sz w:val="24"/>
          <w:szCs w:val="24"/>
        </w:rPr>
        <w:t xml:space="preserve"> interests as well as governance. Each accepted change must be logged together with its reason, scope, cost, schedule influence, potential risk, and approver. The need for such detailed record-keeping is explained by the relationship between change orders </w:t>
      </w:r>
      <w:r w:rsidRPr="00E36B26">
        <w:rPr>
          <w:rFonts w:ascii="Times New Roman" w:eastAsia="Times New Roman" w:hAnsi="Times New Roman" w:cs="Times New Roman"/>
          <w:color w:val="000000" w:themeColor="text1"/>
          <w:sz w:val="24"/>
          <w:szCs w:val="24"/>
        </w:rPr>
        <w:t>and rework and the lower profit margins of contractors. Thus, rework accounted for 0.39% of the project value in the sample of 98 projects (Love et al., 2019). Knowledge of change management allows estimating and accepting changes appropriately, thus contr</w:t>
      </w:r>
      <w:r w:rsidRPr="00E36B26">
        <w:rPr>
          <w:rFonts w:ascii="Times New Roman" w:eastAsia="Times New Roman" w:hAnsi="Times New Roman" w:cs="Times New Roman"/>
          <w:color w:val="000000" w:themeColor="text1"/>
          <w:sz w:val="24"/>
          <w:szCs w:val="24"/>
        </w:rPr>
        <w:t>olling costs</w:t>
      </w:r>
      <w:r w:rsidR="00C13208" w:rsidRPr="00424F0C">
        <w:rPr>
          <w:rFonts w:ascii="Times New Roman" w:eastAsia="Times New Roman" w:hAnsi="Times New Roman" w:cs="Times New Roman"/>
          <w:color w:val="000000" w:themeColor="text1"/>
          <w:sz w:val="24"/>
          <w:szCs w:val="24"/>
        </w:rPr>
        <w:t>.</w:t>
      </w:r>
    </w:p>
    <w:p w:rsidR="00295FC9" w:rsidRPr="00424F0C" w:rsidRDefault="0093609B" w:rsidP="00424F0C">
      <w:pPr>
        <w:pStyle w:val="Heading1"/>
      </w:pPr>
      <w:bookmarkStart w:id="13" w:name="_Toc240116004"/>
      <w:r w:rsidRPr="00424F0C">
        <w:t>3.0 Risk management and role of a risk register</w:t>
      </w:r>
      <w:bookmarkEnd w:id="13"/>
      <w:r w:rsidRPr="00424F0C">
        <w:t xml:space="preserve"> </w:t>
      </w:r>
    </w:p>
    <w:p w:rsidR="00295FC9" w:rsidRPr="00424F0C" w:rsidRDefault="0093609B" w:rsidP="00424F0C">
      <w:pPr>
        <w:pStyle w:val="Heading2"/>
      </w:pPr>
      <w:bookmarkStart w:id="14" w:name="_Toc240116005"/>
      <w:r w:rsidRPr="00424F0C">
        <w:t>3.1 Risk management within construction</w:t>
      </w:r>
      <w:bookmarkEnd w:id="14"/>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The inherent uncertainty of construction projects can be attributed to their technical complexity, having multiple parties involved, as well as the </w:t>
      </w:r>
      <w:r w:rsidRPr="00424F0C">
        <w:rPr>
          <w:rFonts w:ascii="Times New Roman" w:eastAsia="Times New Roman" w:hAnsi="Times New Roman" w:cs="Times New Roman"/>
          <w:color w:val="000000" w:themeColor="text1"/>
          <w:sz w:val="24"/>
          <w:szCs w:val="24"/>
        </w:rPr>
        <w:t>changing conditions on-site.</w:t>
      </w:r>
      <w:r w:rsidR="00A7668F">
        <w:rPr>
          <w:rFonts w:ascii="Times New Roman" w:eastAsia="Times New Roman" w:hAnsi="Times New Roman" w:cs="Times New Roman"/>
          <w:color w:val="000000" w:themeColor="text1"/>
          <w:sz w:val="24"/>
          <w:szCs w:val="24"/>
        </w:rPr>
        <w:t xml:space="preserve"> </w:t>
      </w:r>
      <w:r w:rsidRPr="00424F0C">
        <w:rPr>
          <w:rFonts w:ascii="Times New Roman" w:eastAsia="Times New Roman" w:hAnsi="Times New Roman" w:cs="Times New Roman"/>
          <w:color w:val="000000" w:themeColor="text1"/>
          <w:sz w:val="24"/>
          <w:szCs w:val="24"/>
        </w:rPr>
        <w:t xml:space="preserve">Thus, in contrast to a one-time assessment, a continuing process of risk identification, analysis, response and monitoring is necessary (Kallow et al., 2022). Recent empirical research has established a connection between risk </w:t>
      </w:r>
      <w:r w:rsidRPr="00424F0C">
        <w:rPr>
          <w:rFonts w:ascii="Times New Roman" w:eastAsia="Times New Roman" w:hAnsi="Times New Roman" w:cs="Times New Roman"/>
          <w:color w:val="000000" w:themeColor="text1"/>
          <w:sz w:val="24"/>
          <w:szCs w:val="24"/>
        </w:rPr>
        <w:t>identification, monitoring, and mitigation and project success, and has also studied the relationship between risk transparency and coping ability, including the effectiveness of organisations in coping with uncertainty (Kallow et al., 2022).</w:t>
      </w:r>
    </w:p>
    <w:p w:rsidR="00295FC9" w:rsidRPr="00424F0C" w:rsidRDefault="0093609B" w:rsidP="00424F0C">
      <w:pPr>
        <w:pStyle w:val="Heading2"/>
      </w:pPr>
      <w:bookmarkStart w:id="15" w:name="_Toc240116006"/>
      <w:r w:rsidRPr="00424F0C">
        <w:t>3.2 Identifyi</w:t>
      </w:r>
      <w:r w:rsidRPr="00424F0C">
        <w:t>ng risk within a Bloomberg-type project</w:t>
      </w:r>
      <w:bookmarkEnd w:id="15"/>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Bloomberg initiative illustrates the importance of systematic recognition. Archaeological challenges surrounding the construction site caused delays in the programme implementation and a steep rise in costs, forcing contractors to introduce measures to</w:t>
      </w:r>
      <w:r w:rsidRPr="00424F0C">
        <w:rPr>
          <w:rFonts w:ascii="Times New Roman" w:eastAsia="Times New Roman" w:hAnsi="Times New Roman" w:cs="Times New Roman"/>
          <w:color w:val="000000" w:themeColor="text1"/>
          <w:sz w:val="24"/>
          <w:szCs w:val="24"/>
        </w:rPr>
        <w:t xml:space="preserve"> speed up the process. According to the Robert Bird Group, as indicated earlier, the redesigned temporary and permanent works shortened the construction schedule of the affected operation by more than 2 months (Robert Bird Group, 2016). Consequently, the r</w:t>
      </w:r>
      <w:r w:rsidRPr="00424F0C">
        <w:rPr>
          <w:rFonts w:ascii="Times New Roman" w:eastAsia="Times New Roman" w:hAnsi="Times New Roman" w:cs="Times New Roman"/>
          <w:color w:val="000000" w:themeColor="text1"/>
          <w:sz w:val="24"/>
          <w:szCs w:val="24"/>
        </w:rPr>
        <w:t xml:space="preserve">isks that a Bloomberg-type project may face include failure to harmonise the design, uncertainty related to archaeological sites, disruption in supply, escalation of cost, delay in programme, safety occurrences, and changes in </w:t>
      </w:r>
      <w:r w:rsidRPr="00424F0C">
        <w:rPr>
          <w:rFonts w:ascii="Times New Roman" w:eastAsia="Times New Roman" w:hAnsi="Times New Roman" w:cs="Times New Roman"/>
          <w:color w:val="000000" w:themeColor="text1"/>
          <w:sz w:val="24"/>
          <w:szCs w:val="24"/>
        </w:rPr>
        <w:lastRenderedPageBreak/>
        <w:t>legal and sustainability comp</w:t>
      </w:r>
      <w:r w:rsidRPr="00424F0C">
        <w:rPr>
          <w:rFonts w:ascii="Times New Roman" w:eastAsia="Times New Roman" w:hAnsi="Times New Roman" w:cs="Times New Roman"/>
          <w:color w:val="000000" w:themeColor="text1"/>
          <w:sz w:val="24"/>
          <w:szCs w:val="24"/>
        </w:rPr>
        <w:t>liance. Furthermore, digital coordination may be helpful in risk management, since studies show that BIM can significantly contribute to risk identification and management even though its use comes together with certain implementation risks (Rehman et al.,</w:t>
      </w:r>
      <w:r w:rsidRPr="00424F0C">
        <w:rPr>
          <w:rFonts w:ascii="Times New Roman" w:eastAsia="Times New Roman" w:hAnsi="Times New Roman" w:cs="Times New Roman"/>
          <w:color w:val="000000" w:themeColor="text1"/>
          <w:sz w:val="24"/>
          <w:szCs w:val="24"/>
        </w:rPr>
        <w:t xml:space="preserve"> 2020).</w:t>
      </w:r>
    </w:p>
    <w:p w:rsidR="00295FC9" w:rsidRPr="00424F0C" w:rsidRDefault="0093609B" w:rsidP="00424F0C">
      <w:pPr>
        <w:pStyle w:val="Heading2"/>
      </w:pPr>
      <w:bookmarkStart w:id="16" w:name="_Toc240116007"/>
      <w:r w:rsidRPr="00424F0C">
        <w:t>3.3 Assessment of likelihood and consequences</w:t>
      </w:r>
      <w:bookmarkEnd w:id="16"/>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project can look into a 5*5 qualitative risk matrix, whereby both likelihood and consequence are scored from 1 (being lowest) to 5 (being highest). Therefore, the risk score can be calculated as fol</w:t>
      </w:r>
      <w:r w:rsidRPr="00424F0C">
        <w:rPr>
          <w:rFonts w:ascii="Times New Roman" w:eastAsia="Times New Roman" w:hAnsi="Times New Roman" w:cs="Times New Roman"/>
          <w:color w:val="000000" w:themeColor="text1"/>
          <w:sz w:val="24"/>
          <w:szCs w:val="24"/>
        </w:rPr>
        <w:t>lows (Lapidus et al., 2022).</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Risk Score=Likelihood*Consequence</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Hence, the resulting score requires management attention, serving as a form of authorial assessment for the case, instead of purely being derived from Bloomberg as a form of statistics (Lapidus</w:t>
      </w:r>
      <w:r w:rsidRPr="00424F0C">
        <w:rPr>
          <w:rFonts w:ascii="Times New Roman" w:eastAsia="Times New Roman" w:hAnsi="Times New Roman" w:cs="Times New Roman"/>
          <w:color w:val="000000" w:themeColor="text1"/>
          <w:sz w:val="24"/>
          <w:szCs w:val="24"/>
        </w:rPr>
        <w:t xml:space="preserve"> et al., 2022). </w:t>
      </w:r>
    </w:p>
    <w:p w:rsidR="00295FC9" w:rsidRPr="00424F0C" w:rsidRDefault="0093609B" w:rsidP="00424F0C">
      <w:pPr>
        <w:pStyle w:val="Heading2"/>
      </w:pPr>
      <w:bookmarkStart w:id="17" w:name="_Toc240116008"/>
      <w:r w:rsidRPr="00424F0C">
        <w:t>3.4 Risk Assessment Matrix</w:t>
      </w:r>
      <w:bookmarkEnd w:id="17"/>
    </w:p>
    <w:p w:rsidR="00295FC9" w:rsidRDefault="00295FC9">
      <w:pPr>
        <w:spacing w:line="360" w:lineRule="auto"/>
        <w:jc w:val="both"/>
        <w:rPr>
          <w:rFonts w:ascii="Times New Roman" w:eastAsia="Times New Roman" w:hAnsi="Times New Roman" w:cs="Times New Roman"/>
          <w:b/>
          <w:bCs/>
          <w:sz w:val="24"/>
          <w:szCs w:val="24"/>
        </w:rPr>
      </w:pPr>
    </w:p>
    <w:tbl>
      <w:tblPr>
        <w:tblStyle w:val="a0"/>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94"/>
        <w:gridCol w:w="1594"/>
        <w:gridCol w:w="1593"/>
        <w:gridCol w:w="1593"/>
        <w:gridCol w:w="1593"/>
        <w:gridCol w:w="1593"/>
      </w:tblGrid>
      <w:tr w:rsidR="00666FC3" w:rsidTr="00424F0C">
        <w:trPr>
          <w:trHeight w:val="440"/>
        </w:trPr>
        <w:tc>
          <w:tcPr>
            <w:tcW w:w="834" w:type="pct"/>
            <w:shd w:val="clear" w:color="auto" w:fill="auto"/>
            <w:tcMar>
              <w:top w:w="100" w:type="dxa"/>
              <w:left w:w="100" w:type="dxa"/>
              <w:bottom w:w="100" w:type="dxa"/>
              <w:right w:w="100" w:type="dxa"/>
            </w:tcMar>
          </w:tcPr>
          <w:p w:rsidR="00295FC9" w:rsidRDefault="0093609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Likelihood (on the right)</w:t>
            </w:r>
          </w:p>
        </w:tc>
        <w:tc>
          <w:tcPr>
            <w:tcW w:w="834" w:type="pct"/>
            <w:vMerge w:val="restart"/>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p>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1</w:t>
            </w:r>
          </w:p>
        </w:tc>
        <w:tc>
          <w:tcPr>
            <w:tcW w:w="833" w:type="pct"/>
            <w:vMerge w:val="restart"/>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p>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w:t>
            </w:r>
          </w:p>
        </w:tc>
        <w:tc>
          <w:tcPr>
            <w:tcW w:w="833" w:type="pct"/>
            <w:vMerge w:val="restart"/>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p>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3</w:t>
            </w:r>
          </w:p>
        </w:tc>
        <w:tc>
          <w:tcPr>
            <w:tcW w:w="833" w:type="pct"/>
            <w:vMerge w:val="restar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w:t>
            </w:r>
          </w:p>
        </w:tc>
        <w:tc>
          <w:tcPr>
            <w:tcW w:w="833" w:type="pct"/>
            <w:vMerge w:val="restar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w:t>
            </w:r>
          </w:p>
        </w:tc>
      </w:tr>
      <w:tr w:rsidR="00666FC3" w:rsidTr="00424F0C">
        <w:trPr>
          <w:trHeight w:val="440"/>
        </w:trPr>
        <w:tc>
          <w:tcPr>
            <w:tcW w:w="834" w:type="pct"/>
            <w:shd w:val="clear" w:color="auto" w:fill="auto"/>
            <w:tcMar>
              <w:top w:w="100" w:type="dxa"/>
              <w:left w:w="100" w:type="dxa"/>
              <w:bottom w:w="100" w:type="dxa"/>
              <w:right w:w="100" w:type="dxa"/>
            </w:tcMar>
          </w:tcPr>
          <w:p w:rsidR="00295FC9" w:rsidRDefault="0093609B">
            <w:pPr>
              <w:widowControl w:val="0"/>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Consequence (below)</w:t>
            </w:r>
          </w:p>
        </w:tc>
        <w:tc>
          <w:tcPr>
            <w:tcW w:w="834" w:type="pct"/>
            <w:vMerge/>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833" w:type="pct"/>
            <w:vMerge/>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833" w:type="pct"/>
            <w:vMerge/>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833" w:type="pct"/>
            <w:vMerge/>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833" w:type="pct"/>
            <w:vMerge/>
            <w:shd w:val="clear" w:color="auto" w:fill="auto"/>
            <w:tcMar>
              <w:top w:w="100" w:type="dxa"/>
              <w:left w:w="100" w:type="dxa"/>
              <w:bottom w:w="100" w:type="dxa"/>
              <w:right w:w="100" w:type="dxa"/>
            </w:tcMar>
          </w:tcPr>
          <w:p w:rsidR="00295FC9" w:rsidRDefault="00295FC9">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r>
      <w:tr w:rsidR="00666FC3" w:rsidTr="00424F0C">
        <w:tc>
          <w:tcPr>
            <w:tcW w:w="834"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5 (Severe Category)</w:t>
            </w:r>
          </w:p>
        </w:tc>
        <w:tc>
          <w:tcPr>
            <w:tcW w:w="834"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666FC3" w:rsidTr="00424F0C">
        <w:tc>
          <w:tcPr>
            <w:tcW w:w="834"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4 (Major Category)</w:t>
            </w:r>
          </w:p>
        </w:tc>
        <w:tc>
          <w:tcPr>
            <w:tcW w:w="834"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833" w:type="pct"/>
            <w:shd w:val="clear" w:color="auto" w:fill="FF00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666FC3" w:rsidTr="00424F0C">
        <w:tc>
          <w:tcPr>
            <w:tcW w:w="834"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(Moderate Category)</w:t>
            </w:r>
          </w:p>
        </w:tc>
        <w:tc>
          <w:tcPr>
            <w:tcW w:w="834" w:type="pct"/>
            <w:shd w:val="clear" w:color="auto" w:fill="FF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33" w:type="pct"/>
            <w:shd w:val="clear" w:color="auto" w:fill="FF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33" w:type="pct"/>
            <w:shd w:val="clear" w:color="auto" w:fill="FF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833" w:type="pct"/>
            <w:shd w:val="clear" w:color="auto" w:fill="FF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833" w:type="pct"/>
            <w:shd w:val="clear" w:color="auto" w:fill="FF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666FC3" w:rsidTr="00424F0C">
        <w:tc>
          <w:tcPr>
            <w:tcW w:w="834"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2 (Minor </w:t>
            </w:r>
            <w:r>
              <w:rPr>
                <w:rFonts w:ascii="Times New Roman" w:eastAsia="Times New Roman" w:hAnsi="Times New Roman" w:cs="Times New Roman"/>
                <w:b/>
                <w:bCs/>
                <w:sz w:val="24"/>
                <w:szCs w:val="24"/>
              </w:rPr>
              <w:lastRenderedPageBreak/>
              <w:t>Category)</w:t>
            </w:r>
          </w:p>
        </w:tc>
        <w:tc>
          <w:tcPr>
            <w:tcW w:w="834" w:type="pct"/>
            <w:shd w:val="clear" w:color="auto" w:fill="B6D7A8"/>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w:t>
            </w:r>
          </w:p>
        </w:tc>
        <w:tc>
          <w:tcPr>
            <w:tcW w:w="833" w:type="pct"/>
            <w:shd w:val="clear" w:color="auto" w:fill="B6D7A8"/>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33" w:type="pct"/>
            <w:shd w:val="clear" w:color="auto" w:fill="B6D7A8"/>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833" w:type="pct"/>
            <w:shd w:val="clear" w:color="auto" w:fill="B6D7A8"/>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833" w:type="pct"/>
            <w:shd w:val="clear" w:color="auto" w:fill="B6D7A8"/>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666FC3" w:rsidTr="00424F0C">
        <w:tc>
          <w:tcPr>
            <w:tcW w:w="834"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1 (Insignificant Category)</w:t>
            </w:r>
          </w:p>
        </w:tc>
        <w:tc>
          <w:tcPr>
            <w:tcW w:w="834" w:type="pct"/>
            <w:shd w:val="clear" w:color="auto" w:fill="00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33" w:type="pct"/>
            <w:shd w:val="clear" w:color="auto" w:fill="00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833" w:type="pct"/>
            <w:shd w:val="clear" w:color="auto" w:fill="00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833" w:type="pct"/>
            <w:shd w:val="clear" w:color="auto" w:fill="00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833" w:type="pct"/>
            <w:shd w:val="clear" w:color="auto" w:fill="00FF00"/>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rsidR="00295FC9" w:rsidRPr="004D6E3E" w:rsidRDefault="0093609B" w:rsidP="004D6E3E">
      <w:pPr>
        <w:pStyle w:val="Caption"/>
        <w:spacing w:line="360" w:lineRule="auto"/>
        <w:jc w:val="center"/>
        <w:rPr>
          <w:rFonts w:ascii="Times New Roman" w:eastAsia="Times New Roman" w:hAnsi="Times New Roman" w:cs="Times New Roman"/>
          <w:b w:val="0"/>
          <w:bCs w:val="0"/>
          <w:color w:val="000000" w:themeColor="text1"/>
          <w:sz w:val="24"/>
          <w:szCs w:val="24"/>
        </w:rPr>
      </w:pPr>
      <w:bookmarkStart w:id="18" w:name="_Toc240118916"/>
      <w:r w:rsidRPr="004D6E3E">
        <w:rPr>
          <w:rFonts w:ascii="Times New Roman" w:hAnsi="Times New Roman" w:cs="Times New Roman"/>
          <w:color w:val="000000" w:themeColor="text1"/>
          <w:sz w:val="24"/>
          <w:szCs w:val="24"/>
        </w:rPr>
        <w:t xml:space="preserve">Figure </w:t>
      </w:r>
      <w:r w:rsidRPr="004D6E3E">
        <w:rPr>
          <w:rFonts w:ascii="Times New Roman" w:hAnsi="Times New Roman" w:cs="Times New Roman"/>
          <w:color w:val="000000" w:themeColor="text1"/>
          <w:sz w:val="24"/>
          <w:szCs w:val="24"/>
        </w:rPr>
        <w:fldChar w:fldCharType="begin"/>
      </w:r>
      <w:r w:rsidRPr="004D6E3E">
        <w:rPr>
          <w:rFonts w:ascii="Times New Roman" w:hAnsi="Times New Roman" w:cs="Times New Roman"/>
          <w:color w:val="000000" w:themeColor="text1"/>
          <w:sz w:val="24"/>
          <w:szCs w:val="24"/>
        </w:rPr>
        <w:instrText xml:space="preserve"> SEQ Figure \* ARABIC </w:instrText>
      </w:r>
      <w:r w:rsidRPr="004D6E3E">
        <w:rPr>
          <w:rFonts w:ascii="Times New Roman" w:hAnsi="Times New Roman" w:cs="Times New Roman"/>
          <w:color w:val="000000" w:themeColor="text1"/>
          <w:sz w:val="24"/>
          <w:szCs w:val="24"/>
        </w:rPr>
        <w:fldChar w:fldCharType="separate"/>
      </w:r>
      <w:r w:rsidRPr="004D6E3E">
        <w:rPr>
          <w:rFonts w:ascii="Times New Roman" w:hAnsi="Times New Roman" w:cs="Times New Roman"/>
          <w:noProof/>
          <w:color w:val="000000" w:themeColor="text1"/>
          <w:sz w:val="24"/>
          <w:szCs w:val="24"/>
        </w:rPr>
        <w:t>2</w:t>
      </w:r>
      <w:r w:rsidRPr="004D6E3E">
        <w:rPr>
          <w:rFonts w:ascii="Times New Roman" w:hAnsi="Times New Roman" w:cs="Times New Roman"/>
          <w:color w:val="000000" w:themeColor="text1"/>
          <w:sz w:val="24"/>
          <w:szCs w:val="24"/>
        </w:rPr>
        <w:fldChar w:fldCharType="end"/>
      </w:r>
      <w:r w:rsidRPr="004D6E3E">
        <w:rPr>
          <w:rFonts w:ascii="Times New Roman" w:hAnsi="Times New Roman" w:cs="Times New Roman"/>
          <w:color w:val="000000" w:themeColor="text1"/>
          <w:sz w:val="24"/>
          <w:szCs w:val="24"/>
        </w:rPr>
        <w:t>: Risk Assessment Matrix</w:t>
      </w:r>
      <w:bookmarkEnd w:id="18"/>
    </w:p>
    <w:p w:rsidR="00295FC9" w:rsidRDefault="0093609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rsidR="00295FC9" w:rsidRDefault="0093609B" w:rsidP="00424F0C">
      <w:pPr>
        <w:pStyle w:val="Heading2"/>
      </w:pPr>
      <w:bookmarkStart w:id="19" w:name="_Toc240116009"/>
      <w:r>
        <w:t>3.5 Risk Register</w:t>
      </w:r>
      <w:bookmarkEnd w:id="19"/>
    </w:p>
    <w:p w:rsidR="00295FC9" w:rsidRDefault="00295FC9">
      <w:pPr>
        <w:spacing w:line="360" w:lineRule="auto"/>
        <w:jc w:val="both"/>
        <w:rPr>
          <w:rFonts w:ascii="Times New Roman" w:eastAsia="Times New Roman" w:hAnsi="Times New Roman" w:cs="Times New Roman"/>
          <w:sz w:val="24"/>
          <w:szCs w:val="24"/>
        </w:rPr>
      </w:pPr>
    </w:p>
    <w:tbl>
      <w:tblPr>
        <w:tblStyle w:val="a1"/>
        <w:tblW w:w="5000" w:type="pc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281"/>
        <w:gridCol w:w="1179"/>
        <w:gridCol w:w="1390"/>
        <w:gridCol w:w="743"/>
        <w:gridCol w:w="1179"/>
        <w:gridCol w:w="1390"/>
        <w:gridCol w:w="990"/>
        <w:gridCol w:w="1408"/>
      </w:tblGrid>
      <w:tr w:rsidR="00666FC3" w:rsidTr="00424F0C">
        <w:trPr>
          <w:trHeight w:val="2126"/>
        </w:trPr>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Risks</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Likelihood (Out of 5)</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Consequence (Out of 5)</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Risk Score</w:t>
            </w:r>
          </w:p>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(L*C)</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Residual </w:t>
            </w:r>
            <w:r>
              <w:rPr>
                <w:rFonts w:ascii="Times New Roman" w:eastAsia="Times New Roman" w:hAnsi="Times New Roman" w:cs="Times New Roman"/>
                <w:b/>
                <w:bCs/>
                <w:sz w:val="24"/>
                <w:szCs w:val="24"/>
              </w:rPr>
              <w:t>Risk Likelihood</w:t>
            </w:r>
          </w:p>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 of 5)</w:t>
            </w:r>
          </w:p>
          <w:p w:rsidR="00295FC9" w:rsidRDefault="00295FC9">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Residual Risk Consequence</w:t>
            </w:r>
          </w:p>
          <w:p w:rsidR="00295FC9" w:rsidRDefault="0093609B">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 of 5)</w:t>
            </w:r>
          </w:p>
          <w:p w:rsidR="00295FC9" w:rsidRDefault="00295FC9">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Residual Risk Score (L*C)</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Mitigation</w:t>
            </w:r>
          </w:p>
        </w:tc>
      </w:tr>
      <w:tr w:rsidR="00666FC3" w:rsidTr="00424F0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Archaeological site-related uncertainties </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Contingency planning post early investigation using specialists for digging and excavation</w:t>
            </w:r>
          </w:p>
        </w:tc>
      </w:tr>
      <w:tr w:rsidR="00666FC3" w:rsidTr="00424F0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Design-related coordination failure</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BIM-based coordination with multidisciplinary design-based reviewing</w:t>
            </w:r>
          </w:p>
        </w:tc>
      </w:tr>
      <w:tr w:rsidR="00666FC3" w:rsidTr="00424F0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Disruption of supply </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Alternative supplier choice consideration or earlier procurement of resources </w:t>
            </w:r>
          </w:p>
        </w:tc>
      </w:tr>
      <w:tr w:rsidR="00666FC3" w:rsidTr="00424F0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Delay in construction </w:t>
            </w:r>
            <w:r>
              <w:rPr>
                <w:rFonts w:ascii="Times New Roman" w:eastAsia="Times New Roman" w:hAnsi="Times New Roman" w:cs="Times New Roman"/>
                <w:sz w:val="20"/>
                <w:szCs w:val="20"/>
              </w:rPr>
              <w:t>programmes</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Monitoring critical path and looking into acceleration-based planning </w:t>
            </w:r>
          </w:p>
        </w:tc>
      </w:tr>
      <w:tr w:rsidR="00666FC3" w:rsidTr="00424F0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Expense-related escalation </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625" w:type="pct"/>
            <w:shd w:val="clear" w:color="auto" w:fill="auto"/>
            <w:tcMar>
              <w:top w:w="100" w:type="dxa"/>
              <w:left w:w="100" w:type="dxa"/>
              <w:bottom w:w="100" w:type="dxa"/>
              <w:right w:w="100" w:type="dxa"/>
            </w:tcMar>
          </w:tcPr>
          <w:p w:rsidR="00295FC9" w:rsidRDefault="0093609B">
            <w:pPr>
              <w:widowControl w:val="0"/>
              <w:pBdr>
                <w:top w:val="nil"/>
                <w:left w:val="nil"/>
                <w:bottom w:val="nil"/>
                <w:right w:val="nil"/>
                <w:between w:val="nil"/>
              </w:pBd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Forecasting contingency and formal change-related control plans</w:t>
            </w:r>
          </w:p>
        </w:tc>
      </w:tr>
    </w:tbl>
    <w:p w:rsidR="00295FC9" w:rsidRPr="004D6E3E" w:rsidRDefault="0093609B" w:rsidP="004D6E3E">
      <w:pPr>
        <w:pStyle w:val="Caption"/>
        <w:spacing w:line="360" w:lineRule="auto"/>
        <w:jc w:val="center"/>
        <w:rPr>
          <w:rFonts w:ascii="Times New Roman" w:eastAsia="Times New Roman" w:hAnsi="Times New Roman" w:cs="Times New Roman"/>
          <w:b w:val="0"/>
          <w:bCs w:val="0"/>
          <w:color w:val="000000" w:themeColor="text1"/>
          <w:sz w:val="24"/>
          <w:szCs w:val="24"/>
        </w:rPr>
      </w:pPr>
      <w:bookmarkStart w:id="20" w:name="_Toc240119024"/>
      <w:r w:rsidRPr="004D6E3E">
        <w:rPr>
          <w:rFonts w:ascii="Times New Roman" w:hAnsi="Times New Roman" w:cs="Times New Roman"/>
          <w:color w:val="000000" w:themeColor="text1"/>
          <w:sz w:val="24"/>
          <w:szCs w:val="24"/>
        </w:rPr>
        <w:t xml:space="preserve">Table </w:t>
      </w:r>
      <w:r w:rsidRPr="004D6E3E">
        <w:rPr>
          <w:rFonts w:ascii="Times New Roman" w:hAnsi="Times New Roman" w:cs="Times New Roman"/>
          <w:color w:val="000000" w:themeColor="text1"/>
          <w:sz w:val="24"/>
          <w:szCs w:val="24"/>
        </w:rPr>
        <w:fldChar w:fldCharType="begin"/>
      </w:r>
      <w:r w:rsidRPr="004D6E3E">
        <w:rPr>
          <w:rFonts w:ascii="Times New Roman" w:hAnsi="Times New Roman" w:cs="Times New Roman"/>
          <w:color w:val="000000" w:themeColor="text1"/>
          <w:sz w:val="24"/>
          <w:szCs w:val="24"/>
        </w:rPr>
        <w:instrText xml:space="preserve"> SEQ Table \* ARABIC </w:instrText>
      </w:r>
      <w:r w:rsidRPr="004D6E3E">
        <w:rPr>
          <w:rFonts w:ascii="Times New Roman" w:hAnsi="Times New Roman" w:cs="Times New Roman"/>
          <w:color w:val="000000" w:themeColor="text1"/>
          <w:sz w:val="24"/>
          <w:szCs w:val="24"/>
        </w:rPr>
        <w:fldChar w:fldCharType="separate"/>
      </w:r>
      <w:r w:rsidRPr="004D6E3E">
        <w:rPr>
          <w:rFonts w:ascii="Times New Roman" w:hAnsi="Times New Roman" w:cs="Times New Roman"/>
          <w:noProof/>
          <w:color w:val="000000" w:themeColor="text1"/>
          <w:sz w:val="24"/>
          <w:szCs w:val="24"/>
        </w:rPr>
        <w:t>2</w:t>
      </w:r>
      <w:r w:rsidRPr="004D6E3E">
        <w:rPr>
          <w:rFonts w:ascii="Times New Roman" w:hAnsi="Times New Roman" w:cs="Times New Roman"/>
          <w:color w:val="000000" w:themeColor="text1"/>
          <w:sz w:val="24"/>
          <w:szCs w:val="24"/>
        </w:rPr>
        <w:fldChar w:fldCharType="end"/>
      </w:r>
      <w:r w:rsidRPr="004D6E3E">
        <w:rPr>
          <w:rFonts w:ascii="Times New Roman" w:hAnsi="Times New Roman" w:cs="Times New Roman"/>
          <w:color w:val="000000" w:themeColor="text1"/>
          <w:sz w:val="24"/>
          <w:szCs w:val="24"/>
        </w:rPr>
        <w:t>: Risk Register</w:t>
      </w:r>
      <w:bookmarkEnd w:id="20"/>
    </w:p>
    <w:p w:rsidR="00295FC9" w:rsidRDefault="0093609B">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Self-created)</w:t>
      </w:r>
    </w:p>
    <w:p w:rsidR="00295FC9" w:rsidRPr="00424F0C" w:rsidRDefault="0093609B" w:rsidP="00424F0C">
      <w:pPr>
        <w:pStyle w:val="Heading2"/>
      </w:pPr>
      <w:bookmarkStart w:id="21" w:name="_Toc240116010"/>
      <w:r w:rsidRPr="00424F0C">
        <w:t>3.6 Residual Risks</w:t>
      </w:r>
      <w:bookmarkEnd w:id="21"/>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The process of mitigation does not remove uncertainty, but weakens the degree of exposure involving the project. Such residual risk calls for its continuous ownership and follow-up. This seems important for </w:t>
      </w:r>
      <w:r w:rsidRPr="00424F0C">
        <w:rPr>
          <w:rFonts w:ascii="Times New Roman" w:eastAsia="Times New Roman" w:hAnsi="Times New Roman" w:cs="Times New Roman"/>
          <w:color w:val="000000" w:themeColor="text1"/>
          <w:sz w:val="24"/>
          <w:szCs w:val="24"/>
        </w:rPr>
        <w:t>Bloomberg-type projects because one cannot fully manage archaeology, design interface, and external supply (Nabawy et al., 2020). The risk register should therefore remain a live management tool, since any indicator could trigger a reassessment. This is tr</w:t>
      </w:r>
      <w:r w:rsidRPr="00424F0C">
        <w:rPr>
          <w:rFonts w:ascii="Times New Roman" w:eastAsia="Times New Roman" w:hAnsi="Times New Roman" w:cs="Times New Roman"/>
          <w:color w:val="000000" w:themeColor="text1"/>
          <w:sz w:val="24"/>
          <w:szCs w:val="24"/>
        </w:rPr>
        <w:t>ue as it corresponds to the general recommendations in the literature, which argue for a systematic approach to risk identification instead of using previous experience (Nabawy et al., 2020).</w:t>
      </w:r>
    </w:p>
    <w:p w:rsidR="00295FC9" w:rsidRPr="00424F0C" w:rsidRDefault="0093609B" w:rsidP="00424F0C">
      <w:pPr>
        <w:pStyle w:val="Heading1"/>
      </w:pPr>
      <w:bookmarkStart w:id="22" w:name="_Toc240116011"/>
      <w:r w:rsidRPr="00424F0C">
        <w:lastRenderedPageBreak/>
        <w:t>4.0 Lessons from wider construction industry</w:t>
      </w:r>
      <w:bookmarkEnd w:id="22"/>
    </w:p>
    <w:p w:rsidR="00295FC9" w:rsidRPr="00424F0C" w:rsidRDefault="0093609B" w:rsidP="00424F0C">
      <w:pPr>
        <w:pStyle w:val="Heading2"/>
      </w:pPr>
      <w:bookmarkStart w:id="23" w:name="_Toc240116012"/>
      <w:r w:rsidRPr="00424F0C">
        <w:t>4.1 Construction in</w:t>
      </w:r>
      <w:r w:rsidRPr="00424F0C">
        <w:t>dustry lessons and response to change</w:t>
      </w:r>
      <w:bookmarkEnd w:id="23"/>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Due to its scale and complexity, Crossrail serves as an appropriate benchmark for the UK construction industry, due to the reliance on strong coordination between companies as well as exchange of information, contracto</w:t>
      </w:r>
      <w:r w:rsidRPr="00424F0C">
        <w:rPr>
          <w:rFonts w:ascii="Times New Roman" w:eastAsia="Times New Roman" w:hAnsi="Times New Roman" w:cs="Times New Roman"/>
          <w:color w:val="000000" w:themeColor="text1"/>
          <w:sz w:val="24"/>
          <w:szCs w:val="24"/>
        </w:rPr>
        <w:t xml:space="preserve">r involvement, and supply-chain participants. To support </w:t>
      </w:r>
      <w:r w:rsidR="006F53CD">
        <w:rPr>
          <w:rFonts w:ascii="Times New Roman" w:eastAsia="Times New Roman" w:hAnsi="Times New Roman" w:cs="Times New Roman"/>
          <w:color w:val="000000" w:themeColor="text1"/>
          <w:sz w:val="24"/>
          <w:szCs w:val="24"/>
        </w:rPr>
        <w:t>the BIM</w:t>
      </w:r>
      <w:r w:rsidRPr="00424F0C">
        <w:rPr>
          <w:rFonts w:ascii="Times New Roman" w:eastAsia="Times New Roman" w:hAnsi="Times New Roman" w:cs="Times New Roman"/>
          <w:color w:val="000000" w:themeColor="text1"/>
          <w:sz w:val="24"/>
          <w:szCs w:val="24"/>
        </w:rPr>
        <w:t xml:space="preserve"> strategy, Crossrail made use of a Common Data Environment (CDE), promoting it as a 'single source of truth', linking 3D models with asset management information and scheduling (Taylor, 2018).</w:t>
      </w:r>
      <w:r w:rsidRPr="00424F0C">
        <w:rPr>
          <w:rFonts w:ascii="Times New Roman" w:eastAsia="Times New Roman" w:hAnsi="Times New Roman" w:cs="Times New Roman"/>
          <w:color w:val="000000" w:themeColor="text1"/>
          <w:sz w:val="24"/>
          <w:szCs w:val="24"/>
        </w:rPr>
        <w:t xml:space="preserve"> A better understanding can be gained by viewing Figure 3. This shows that digital technology would be effective only when integrated into governance processes and information management systems, rather than implemented as an independent software solution.</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noProof/>
          <w:color w:val="000000" w:themeColor="text1"/>
          <w:sz w:val="24"/>
          <w:szCs w:val="24"/>
          <w:lang w:val="en-GB"/>
        </w:rPr>
        <w:drawing>
          <wp:inline distT="114300" distB="114300" distL="114300" distR="114300">
            <wp:extent cx="5943600" cy="2578100"/>
            <wp:effectExtent l="25400" t="25400" r="25400" b="2540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a:stretch>
                      <a:fillRect/>
                    </a:stretch>
                  </pic:blipFill>
                  <pic:spPr>
                    <a:xfrm>
                      <a:off x="0" y="0"/>
                      <a:ext cx="5943600" cy="2578100"/>
                    </a:xfrm>
                    <a:prstGeom prst="rect">
                      <a:avLst/>
                    </a:prstGeom>
                    <a:ln w="25400">
                      <a:solidFill>
                        <a:srgbClr val="000000"/>
                      </a:solidFill>
                      <a:prstDash val="solid"/>
                    </a:ln>
                  </pic:spPr>
                </pic:pic>
              </a:graphicData>
            </a:graphic>
          </wp:inline>
        </w:drawing>
      </w:r>
    </w:p>
    <w:p w:rsidR="00295FC9" w:rsidRPr="00424F0C" w:rsidRDefault="0093609B">
      <w:pPr>
        <w:spacing w:line="360" w:lineRule="auto"/>
        <w:jc w:val="center"/>
        <w:rPr>
          <w:rFonts w:ascii="Times New Roman" w:eastAsia="Times New Roman" w:hAnsi="Times New Roman" w:cs="Times New Roman"/>
          <w:b/>
          <w:bCs/>
          <w:color w:val="000000" w:themeColor="text1"/>
          <w:sz w:val="24"/>
          <w:szCs w:val="24"/>
        </w:rPr>
      </w:pPr>
      <w:r w:rsidRPr="00424F0C">
        <w:rPr>
          <w:rFonts w:ascii="Times New Roman" w:eastAsia="Times New Roman" w:hAnsi="Times New Roman" w:cs="Times New Roman"/>
          <w:b/>
          <w:bCs/>
          <w:color w:val="000000" w:themeColor="text1"/>
          <w:sz w:val="24"/>
          <w:szCs w:val="24"/>
        </w:rPr>
        <w:t>Figure 3: Crossrail’s 3D model merging with asset management information and scheduling</w:t>
      </w:r>
    </w:p>
    <w:p w:rsidR="00295FC9" w:rsidRPr="00424F0C" w:rsidRDefault="0093609B">
      <w:pPr>
        <w:spacing w:line="360" w:lineRule="auto"/>
        <w:jc w:val="center"/>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(Source: https://www.linkedin.com/pulse/bim-lessons-australia-from-crossrail-brian-middleton)</w:t>
      </w:r>
    </w:p>
    <w:p w:rsidR="00295FC9" w:rsidRPr="00424F0C" w:rsidRDefault="0093609B" w:rsidP="00424F0C">
      <w:pPr>
        <w:pStyle w:val="Heading2"/>
      </w:pPr>
      <w:bookmarkStart w:id="24" w:name="_Toc240116013"/>
      <w:r w:rsidRPr="00424F0C">
        <w:t>4.2 Technology and change management</w:t>
      </w:r>
      <w:bookmarkEnd w:id="24"/>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implementation of Building Information Modelling, or BIM, is expected to enhance performance around conflicting design management across multidisciplinary teams, enabling companies to identify design conflicts without the need for appearing on site and</w:t>
      </w:r>
      <w:r w:rsidRPr="00424F0C">
        <w:rPr>
          <w:rFonts w:ascii="Times New Roman" w:eastAsia="Times New Roman" w:hAnsi="Times New Roman" w:cs="Times New Roman"/>
          <w:color w:val="000000" w:themeColor="text1"/>
          <w:sz w:val="24"/>
          <w:szCs w:val="24"/>
        </w:rPr>
        <w:t xml:space="preserve"> therefore reducing the amount of rework. Chahrour et al. (2020) came up with a cost-benefit analysis of </w:t>
      </w:r>
      <w:r w:rsidRPr="00424F0C">
        <w:rPr>
          <w:rFonts w:ascii="Times New Roman" w:eastAsia="Times New Roman" w:hAnsi="Times New Roman" w:cs="Times New Roman"/>
          <w:color w:val="000000" w:themeColor="text1"/>
          <w:sz w:val="24"/>
          <w:szCs w:val="24"/>
        </w:rPr>
        <w:lastRenderedPageBreak/>
        <w:t>the BIM-driven clash detection process as used on a major building project, demonstrating approximately 20% cost savings resulting from using BIM. Alth</w:t>
      </w:r>
      <w:r w:rsidRPr="00424F0C">
        <w:rPr>
          <w:rFonts w:ascii="Times New Roman" w:eastAsia="Times New Roman" w:hAnsi="Times New Roman" w:cs="Times New Roman"/>
          <w:color w:val="000000" w:themeColor="text1"/>
          <w:sz w:val="24"/>
          <w:szCs w:val="24"/>
        </w:rPr>
        <w:t>ough the finding should not be treated as universally valid, it indicates the significant impact of digital collaboration in a financially measurable aspect. Digital twins allow remote monitoring and prediction; nevertheless, a review of the literature has</w:t>
      </w:r>
      <w:r w:rsidRPr="00424F0C">
        <w:rPr>
          <w:rFonts w:ascii="Times New Roman" w:eastAsia="Times New Roman" w:hAnsi="Times New Roman" w:cs="Times New Roman"/>
          <w:color w:val="000000" w:themeColor="text1"/>
          <w:sz w:val="24"/>
          <w:szCs w:val="24"/>
        </w:rPr>
        <w:t xml:space="preserve"> revealed that the application of the digital twin concept in most case studies examined is actually problematic and limited (Opoku et al., 2021).</w:t>
      </w:r>
    </w:p>
    <w:p w:rsidR="00295FC9" w:rsidRPr="00424F0C" w:rsidRDefault="0093609B" w:rsidP="00424F0C">
      <w:pPr>
        <w:pStyle w:val="Heading2"/>
      </w:pPr>
      <w:bookmarkStart w:id="25" w:name="_Toc240116014"/>
      <w:r w:rsidRPr="00424F0C">
        <w:t>4.3 Wider implications related to economic costs</w:t>
      </w:r>
      <w:bookmarkEnd w:id="25"/>
      <w:r w:rsidRPr="00424F0C">
        <w:t xml:space="preserve"> </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process of adopting technology entails costs of softwar</w:t>
      </w:r>
      <w:r w:rsidRPr="00424F0C">
        <w:rPr>
          <w:rFonts w:ascii="Times New Roman" w:eastAsia="Times New Roman" w:hAnsi="Times New Roman" w:cs="Times New Roman"/>
          <w:color w:val="000000" w:themeColor="text1"/>
          <w:sz w:val="24"/>
          <w:szCs w:val="24"/>
        </w:rPr>
        <w:t>e, hardware, training, information standards, and organisational change. According to the experience of Crossrail, technology must be put in place, along with processes and infrastructure, while the Information Academy solved knowledge gaps for project tea</w:t>
      </w:r>
      <w:r w:rsidRPr="00424F0C">
        <w:rPr>
          <w:rFonts w:ascii="Times New Roman" w:eastAsia="Times New Roman" w:hAnsi="Times New Roman" w:cs="Times New Roman"/>
          <w:color w:val="000000" w:themeColor="text1"/>
          <w:sz w:val="24"/>
          <w:szCs w:val="24"/>
        </w:rPr>
        <w:t xml:space="preserve">ms, contracts, and </w:t>
      </w:r>
      <w:r w:rsidRPr="006F53CD">
        <w:rPr>
          <w:rFonts w:ascii="Times New Roman" w:eastAsia="Times New Roman" w:hAnsi="Times New Roman" w:cs="Times New Roman"/>
          <w:color w:val="000000" w:themeColor="text1"/>
          <w:sz w:val="24"/>
          <w:szCs w:val="24"/>
        </w:rPr>
        <w:t xml:space="preserve">suppliers (Ahmad 2016). In 2023, the UK Infrastructure and Projects Authority revealed that construction materials were over 40% more expensive compared to January 2020, </w:t>
      </w:r>
      <w:r w:rsidR="006F53CD" w:rsidRPr="006F53CD">
        <w:rPr>
          <w:rFonts w:ascii="Times New Roman" w:eastAsia="Times New Roman" w:hAnsi="Times New Roman" w:cs="Times New Roman"/>
          <w:color w:val="000000" w:themeColor="text1"/>
          <w:sz w:val="24"/>
          <w:szCs w:val="24"/>
        </w:rPr>
        <w:t>which caused pressure</w:t>
      </w:r>
      <w:r w:rsidRPr="006F53CD">
        <w:rPr>
          <w:rFonts w:ascii="Times New Roman" w:eastAsia="Times New Roman" w:hAnsi="Times New Roman" w:cs="Times New Roman"/>
          <w:color w:val="000000" w:themeColor="text1"/>
          <w:sz w:val="24"/>
          <w:szCs w:val="24"/>
        </w:rPr>
        <w:t xml:space="preserve"> on budget expenditures and supply chains (Gov</w:t>
      </w:r>
      <w:r w:rsidRPr="006F53CD">
        <w:rPr>
          <w:rFonts w:ascii="Times New Roman" w:eastAsia="Times New Roman" w:hAnsi="Times New Roman" w:cs="Times New Roman"/>
          <w:color w:val="000000" w:themeColor="text1"/>
          <w:sz w:val="24"/>
          <w:szCs w:val="24"/>
        </w:rPr>
        <w:t xml:space="preserve">.UK, 2024, pp. 9). Thus, commercial managers need to balance </w:t>
      </w:r>
      <w:r w:rsidR="006F53CD" w:rsidRPr="006F53CD">
        <w:rPr>
          <w:rFonts w:ascii="Times New Roman" w:eastAsia="Times New Roman" w:hAnsi="Times New Roman" w:cs="Times New Roman"/>
          <w:color w:val="000000" w:themeColor="text1"/>
          <w:sz w:val="24"/>
          <w:szCs w:val="24"/>
        </w:rPr>
        <w:t>implementation costs</w:t>
      </w:r>
      <w:r w:rsidRPr="006F53CD">
        <w:rPr>
          <w:rFonts w:ascii="Times New Roman" w:eastAsia="Times New Roman" w:hAnsi="Times New Roman" w:cs="Times New Roman"/>
          <w:color w:val="000000" w:themeColor="text1"/>
          <w:sz w:val="24"/>
          <w:szCs w:val="24"/>
        </w:rPr>
        <w:t xml:space="preserve"> against the savings from eliminating rework, problems, and ineffective purchases.</w:t>
      </w:r>
    </w:p>
    <w:p w:rsidR="00295FC9" w:rsidRPr="00424F0C" w:rsidRDefault="0093609B" w:rsidP="00424F0C">
      <w:pPr>
        <w:pStyle w:val="Heading2"/>
      </w:pPr>
      <w:bookmarkStart w:id="26" w:name="_Toc240116015"/>
      <w:r w:rsidRPr="00424F0C">
        <w:t>4.4 Skills, collaboration, and adaptability</w:t>
      </w:r>
      <w:bookmarkEnd w:id="26"/>
      <w:r w:rsidRPr="00424F0C">
        <w:t xml:space="preserve"> </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Information Academy of Crossrail demonstrat</w:t>
      </w:r>
      <w:r w:rsidRPr="00424F0C">
        <w:rPr>
          <w:rFonts w:ascii="Times New Roman" w:eastAsia="Times New Roman" w:hAnsi="Times New Roman" w:cs="Times New Roman"/>
          <w:color w:val="000000" w:themeColor="text1"/>
          <w:sz w:val="24"/>
          <w:szCs w:val="24"/>
        </w:rPr>
        <w:t>es that a successful digital transformation relies on people in addition to technologies. It mainly concentrates on People, Process and Technology, and aims to align contractors and suppliers with standard information practices (Ahmad, 2016). Hence, key co</w:t>
      </w:r>
      <w:r w:rsidRPr="00424F0C">
        <w:rPr>
          <w:rFonts w:ascii="Times New Roman" w:eastAsia="Times New Roman" w:hAnsi="Times New Roman" w:cs="Times New Roman"/>
          <w:color w:val="000000" w:themeColor="text1"/>
          <w:sz w:val="24"/>
          <w:szCs w:val="24"/>
        </w:rPr>
        <w:t>mpetencies for Bloomberg-type projects must include skills such as digital skills, communication, collaboration capabilities, problem-solving and negotiation skills, and even an ability to make commercial judgments. To be successful, the teams must possess</w:t>
      </w:r>
      <w:r w:rsidRPr="00424F0C">
        <w:rPr>
          <w:rFonts w:ascii="Times New Roman" w:eastAsia="Times New Roman" w:hAnsi="Times New Roman" w:cs="Times New Roman"/>
          <w:color w:val="000000" w:themeColor="text1"/>
          <w:sz w:val="24"/>
          <w:szCs w:val="24"/>
        </w:rPr>
        <w:t xml:space="preserve"> relevant technical expertise to transform the information into an integrated decision-making process (Aasen and Klakegg, 2023). While technology can enhance change control, the collaboration of leadership and stakeholders is still important for assessing </w:t>
      </w:r>
      <w:r w:rsidRPr="00424F0C">
        <w:rPr>
          <w:rFonts w:ascii="Times New Roman" w:eastAsia="Times New Roman" w:hAnsi="Times New Roman" w:cs="Times New Roman"/>
          <w:color w:val="000000" w:themeColor="text1"/>
          <w:sz w:val="24"/>
          <w:szCs w:val="24"/>
        </w:rPr>
        <w:t>the impact of the change, finding a solution and implementing changes without transferring uncontrolled costs, time, and quality risks.</w:t>
      </w:r>
    </w:p>
    <w:p w:rsidR="00295FC9" w:rsidRPr="00424F0C" w:rsidRDefault="0093609B" w:rsidP="00424F0C">
      <w:pPr>
        <w:pStyle w:val="Heading1"/>
      </w:pPr>
      <w:bookmarkStart w:id="27" w:name="_Toc240116016"/>
      <w:r w:rsidRPr="00424F0C">
        <w:lastRenderedPageBreak/>
        <w:t>5.0 Conclusion</w:t>
      </w:r>
      <w:bookmarkEnd w:id="27"/>
      <w:r w:rsidRPr="00424F0C">
        <w:t xml:space="preserve"> </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The archaeological considerations impacting </w:t>
      </w:r>
      <w:r w:rsidR="00E36B26" w:rsidRPr="00424F0C">
        <w:rPr>
          <w:rFonts w:ascii="Times New Roman" w:eastAsia="Times New Roman" w:hAnsi="Times New Roman" w:cs="Times New Roman"/>
          <w:color w:val="000000" w:themeColor="text1"/>
          <w:sz w:val="24"/>
          <w:szCs w:val="24"/>
        </w:rPr>
        <w:t>Bloomberg's European Headquarters</w:t>
      </w:r>
      <w:r w:rsidRPr="00424F0C">
        <w:rPr>
          <w:rFonts w:ascii="Times New Roman" w:eastAsia="Times New Roman" w:hAnsi="Times New Roman" w:cs="Times New Roman"/>
          <w:color w:val="000000" w:themeColor="text1"/>
          <w:sz w:val="24"/>
          <w:szCs w:val="24"/>
        </w:rPr>
        <w:t xml:space="preserve"> show how unexpected events can interfere with scheduled construction activities and have implications for costs and resources. </w:t>
      </w:r>
      <w:r w:rsidR="004D6E3E">
        <w:rPr>
          <w:rFonts w:ascii="Times New Roman" w:eastAsia="Times New Roman" w:hAnsi="Times New Roman" w:cs="Times New Roman"/>
          <w:color w:val="000000" w:themeColor="text1"/>
          <w:sz w:val="24"/>
          <w:szCs w:val="24"/>
        </w:rPr>
        <w:t>F</w:t>
      </w:r>
      <w:r w:rsidRPr="00424F0C">
        <w:rPr>
          <w:rFonts w:ascii="Times New Roman" w:eastAsia="Times New Roman" w:hAnsi="Times New Roman" w:cs="Times New Roman"/>
          <w:color w:val="000000" w:themeColor="text1"/>
          <w:sz w:val="24"/>
          <w:szCs w:val="24"/>
        </w:rPr>
        <w:t>or change control to be effective, good practices must involve notifying the changes that have taken place, assessing and appro</w:t>
      </w:r>
      <w:r w:rsidRPr="00424F0C">
        <w:rPr>
          <w:rFonts w:ascii="Times New Roman" w:eastAsia="Times New Roman" w:hAnsi="Times New Roman" w:cs="Times New Roman"/>
          <w:color w:val="000000" w:themeColor="text1"/>
          <w:sz w:val="24"/>
          <w:szCs w:val="24"/>
        </w:rPr>
        <w:t xml:space="preserve">ving them by project managers, designers, contractors, clients, and commercial managers for assessing their technical, financial and contractual implications. </w:t>
      </w:r>
      <w:r w:rsidR="004D6E3E">
        <w:rPr>
          <w:rFonts w:ascii="Times New Roman" w:eastAsia="Times New Roman" w:hAnsi="Times New Roman" w:cs="Times New Roman"/>
          <w:color w:val="000000" w:themeColor="text1"/>
          <w:sz w:val="24"/>
          <w:szCs w:val="24"/>
        </w:rPr>
        <w:t>T</w:t>
      </w:r>
      <w:r w:rsidRPr="00424F0C">
        <w:rPr>
          <w:rFonts w:ascii="Times New Roman" w:eastAsia="Times New Roman" w:hAnsi="Times New Roman" w:cs="Times New Roman"/>
          <w:color w:val="000000" w:themeColor="text1"/>
          <w:sz w:val="24"/>
          <w:szCs w:val="24"/>
        </w:rPr>
        <w:t xml:space="preserve">he establishment of change registers is an effective instrument for ensuring accountability and </w:t>
      </w:r>
      <w:r w:rsidRPr="00424F0C">
        <w:rPr>
          <w:rFonts w:ascii="Times New Roman" w:eastAsia="Times New Roman" w:hAnsi="Times New Roman" w:cs="Times New Roman"/>
          <w:color w:val="000000" w:themeColor="text1"/>
          <w:sz w:val="24"/>
          <w:szCs w:val="24"/>
        </w:rPr>
        <w:t>reducing risks arising from unregulated exposure of a project.</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The complementary nature of risk management with that of change </w:t>
      </w:r>
      <w:r w:rsidR="006F53CD" w:rsidRPr="00424F0C">
        <w:rPr>
          <w:rFonts w:ascii="Times New Roman" w:eastAsia="Times New Roman" w:hAnsi="Times New Roman" w:cs="Times New Roman"/>
          <w:color w:val="000000" w:themeColor="text1"/>
          <w:sz w:val="24"/>
          <w:szCs w:val="24"/>
        </w:rPr>
        <w:t>control</w:t>
      </w:r>
      <w:r w:rsidRPr="00424F0C">
        <w:rPr>
          <w:rFonts w:ascii="Times New Roman" w:eastAsia="Times New Roman" w:hAnsi="Times New Roman" w:cs="Times New Roman"/>
          <w:color w:val="000000" w:themeColor="text1"/>
          <w:sz w:val="24"/>
          <w:szCs w:val="24"/>
        </w:rPr>
        <w:t xml:space="preserve"> lies in the systematic identification and prioritisation of uncertainties involving a construction project. As shown thro</w:t>
      </w:r>
      <w:r w:rsidRPr="00424F0C">
        <w:rPr>
          <w:rFonts w:ascii="Times New Roman" w:eastAsia="Times New Roman" w:hAnsi="Times New Roman" w:cs="Times New Roman"/>
          <w:color w:val="000000" w:themeColor="text1"/>
          <w:sz w:val="24"/>
          <w:szCs w:val="24"/>
        </w:rPr>
        <w:t xml:space="preserve">ugh the 5*5 matrix instance, it is possible to set the level of risk priorities based on the level of probability and consequences; </w:t>
      </w:r>
      <w:r w:rsidR="006F53CD">
        <w:rPr>
          <w:rFonts w:ascii="Times New Roman" w:eastAsia="Times New Roman" w:hAnsi="Times New Roman" w:cs="Times New Roman"/>
          <w:color w:val="000000" w:themeColor="text1"/>
          <w:sz w:val="24"/>
          <w:szCs w:val="24"/>
        </w:rPr>
        <w:t>R</w:t>
      </w:r>
      <w:r w:rsidRPr="00424F0C">
        <w:rPr>
          <w:rFonts w:ascii="Times New Roman" w:eastAsia="Times New Roman" w:hAnsi="Times New Roman" w:cs="Times New Roman"/>
          <w:color w:val="000000" w:themeColor="text1"/>
          <w:sz w:val="24"/>
          <w:szCs w:val="24"/>
        </w:rPr>
        <w:t xml:space="preserve">isk registers allow organising effective mitigation and monitoring actions. It is critical to realise that mitigation does </w:t>
      </w:r>
      <w:r w:rsidRPr="00424F0C">
        <w:rPr>
          <w:rFonts w:ascii="Times New Roman" w:eastAsia="Times New Roman" w:hAnsi="Times New Roman" w:cs="Times New Roman"/>
          <w:color w:val="000000" w:themeColor="text1"/>
          <w:sz w:val="24"/>
          <w:szCs w:val="24"/>
        </w:rPr>
        <w:t>not guarantee the complete elimination of uncertainties. For instance, the archaeological conditions or disruptions of supply may continue having an impact in the future for the Bloomberg building. Therefore, risk registers must be dynamic instruments that</w:t>
      </w:r>
      <w:r w:rsidRPr="00424F0C">
        <w:rPr>
          <w:rFonts w:ascii="Times New Roman" w:eastAsia="Times New Roman" w:hAnsi="Times New Roman" w:cs="Times New Roman"/>
          <w:color w:val="000000" w:themeColor="text1"/>
          <w:sz w:val="24"/>
          <w:szCs w:val="24"/>
        </w:rPr>
        <w:t xml:space="preserve"> should be used to reevaluate and adjust actions if needed.</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The lessons learned from Crossrail have showcased the fact that successful adaptation relies on blending technology with processes and people. BIM and a Common Data Environment can improve informa</w:t>
      </w:r>
      <w:r w:rsidRPr="00424F0C">
        <w:rPr>
          <w:rFonts w:ascii="Times New Roman" w:eastAsia="Times New Roman" w:hAnsi="Times New Roman" w:cs="Times New Roman"/>
          <w:color w:val="000000" w:themeColor="text1"/>
          <w:sz w:val="24"/>
          <w:szCs w:val="24"/>
        </w:rPr>
        <w:t>tion coordination and help with quicker identification of design issues, as training and collaboration can enable people to convert digital data into successful actions. However, the adoption of technology brings with it costs of implementation, the need f</w:t>
      </w:r>
      <w:r w:rsidRPr="00424F0C">
        <w:rPr>
          <w:rFonts w:ascii="Times New Roman" w:eastAsia="Times New Roman" w:hAnsi="Times New Roman" w:cs="Times New Roman"/>
          <w:color w:val="000000" w:themeColor="text1"/>
          <w:sz w:val="24"/>
          <w:szCs w:val="24"/>
        </w:rPr>
        <w:t>or skills development, and changes in the org</w:t>
      </w:r>
      <w:r w:rsidR="004D6E3E">
        <w:rPr>
          <w:rFonts w:ascii="Times New Roman" w:eastAsia="Times New Roman" w:hAnsi="Times New Roman" w:cs="Times New Roman"/>
          <w:color w:val="000000" w:themeColor="text1"/>
          <w:sz w:val="24"/>
          <w:szCs w:val="24"/>
        </w:rPr>
        <w:t xml:space="preserve">anisation. Economic turbulence </w:t>
      </w:r>
      <w:r w:rsidRPr="00424F0C">
        <w:rPr>
          <w:rFonts w:ascii="Times New Roman" w:eastAsia="Times New Roman" w:hAnsi="Times New Roman" w:cs="Times New Roman"/>
          <w:color w:val="000000" w:themeColor="text1"/>
          <w:sz w:val="24"/>
          <w:szCs w:val="24"/>
        </w:rPr>
        <w:t>puts an extra weight on the importance of making informed business decisions.</w:t>
      </w:r>
    </w:p>
    <w:p w:rsidR="00295FC9" w:rsidRPr="00424F0C" w:rsidRDefault="0093609B">
      <w:pPr>
        <w:spacing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About the future, digitalisation, AI, BIM,</w:t>
      </w:r>
      <w:bookmarkStart w:id="28" w:name="_GoBack"/>
      <w:bookmarkEnd w:id="28"/>
      <w:r w:rsidRPr="00424F0C">
        <w:rPr>
          <w:rFonts w:ascii="Times New Roman" w:eastAsia="Times New Roman" w:hAnsi="Times New Roman" w:cs="Times New Roman"/>
          <w:color w:val="000000" w:themeColor="text1"/>
          <w:sz w:val="24"/>
          <w:szCs w:val="24"/>
        </w:rPr>
        <w:t xml:space="preserve"> and digital-twin technology create great opportunities for </w:t>
      </w:r>
      <w:r w:rsidRPr="00424F0C">
        <w:rPr>
          <w:rFonts w:ascii="Times New Roman" w:eastAsia="Times New Roman" w:hAnsi="Times New Roman" w:cs="Times New Roman"/>
          <w:color w:val="000000" w:themeColor="text1"/>
          <w:sz w:val="24"/>
          <w:szCs w:val="24"/>
        </w:rPr>
        <w:t>increasing the efficiency of predictive risk management, collaboration and productivity; however, construction companies must deal with cyber security, interoperability, lack of skills, regulatory changes, environmental demands, and uncertainty in the supp</w:t>
      </w:r>
      <w:r w:rsidRPr="00424F0C">
        <w:rPr>
          <w:rFonts w:ascii="Times New Roman" w:eastAsia="Times New Roman" w:hAnsi="Times New Roman" w:cs="Times New Roman"/>
          <w:color w:val="000000" w:themeColor="text1"/>
          <w:sz w:val="24"/>
          <w:szCs w:val="24"/>
        </w:rPr>
        <w:t xml:space="preserve">ly chain. Thus, construction change management involves ensuring proper governance, active risk management, using the best technologies, good teamwork, and necessary practical experience for preparing the companies for both possible and unexpected changes </w:t>
      </w:r>
      <w:r w:rsidRPr="00424F0C">
        <w:rPr>
          <w:rFonts w:ascii="Times New Roman" w:eastAsia="Times New Roman" w:hAnsi="Times New Roman" w:cs="Times New Roman"/>
          <w:color w:val="000000" w:themeColor="text1"/>
          <w:sz w:val="24"/>
          <w:szCs w:val="24"/>
        </w:rPr>
        <w:t>while keeping in mind the costs, deadlines, quality, and profitability of the projects.</w:t>
      </w:r>
    </w:p>
    <w:p w:rsidR="00295FC9" w:rsidRDefault="0093609B" w:rsidP="00424F0C">
      <w:pPr>
        <w:pStyle w:val="Heading1"/>
      </w:pPr>
      <w:bookmarkStart w:id="29" w:name="_Toc240116017"/>
      <w:r>
        <w:lastRenderedPageBreak/>
        <w:t>References</w:t>
      </w:r>
      <w:bookmarkEnd w:id="29"/>
      <w:r>
        <w:t xml:space="preserve"> </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Aasen, A.F. and Klakegg, O.J. (2023). Human resilience and cultural change in the construction industry: Communication and relationships in a time of enforc</w:t>
      </w:r>
      <w:r w:rsidRPr="00424F0C">
        <w:rPr>
          <w:rFonts w:ascii="Times New Roman" w:eastAsia="Times New Roman" w:hAnsi="Times New Roman" w:cs="Times New Roman"/>
          <w:color w:val="000000" w:themeColor="text1"/>
          <w:sz w:val="24"/>
          <w:szCs w:val="24"/>
        </w:rPr>
        <w:t xml:space="preserve">ed adaptation. </w:t>
      </w:r>
      <w:r w:rsidRPr="00424F0C">
        <w:rPr>
          <w:rFonts w:ascii="Times New Roman" w:eastAsia="Times New Roman" w:hAnsi="Times New Roman" w:cs="Times New Roman"/>
          <w:i/>
          <w:iCs/>
          <w:color w:val="000000" w:themeColor="text1"/>
          <w:sz w:val="24"/>
          <w:szCs w:val="24"/>
        </w:rPr>
        <w:t>Frontiers in Built Environment</w:t>
      </w:r>
      <w:r w:rsidRPr="00424F0C">
        <w:rPr>
          <w:rFonts w:ascii="Times New Roman" w:eastAsia="Times New Roman" w:hAnsi="Times New Roman" w:cs="Times New Roman"/>
          <w:color w:val="000000" w:themeColor="text1"/>
          <w:sz w:val="24"/>
          <w:szCs w:val="24"/>
        </w:rPr>
        <w:t>, 9, p.1287483. DOI: 10.3389/fbuil.2023.1287483.</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Chahrour, R., Hafeez, M.A., Ahmad, A.M., Sulieman, H.I., Dawood, H., Rodriguez-Trejo, S., Kassem, M., Naji, K.K. and Dawood, N. (2020). Cost-benefit analysis of B</w:t>
      </w:r>
      <w:r w:rsidRPr="00424F0C">
        <w:rPr>
          <w:rFonts w:ascii="Times New Roman" w:eastAsia="Times New Roman" w:hAnsi="Times New Roman" w:cs="Times New Roman"/>
          <w:color w:val="000000" w:themeColor="text1"/>
          <w:sz w:val="24"/>
          <w:szCs w:val="24"/>
        </w:rPr>
        <w:t xml:space="preserve">IM-enabled design clash detection and resolution. </w:t>
      </w:r>
      <w:r w:rsidRPr="00424F0C">
        <w:rPr>
          <w:rFonts w:ascii="Times New Roman" w:eastAsia="Times New Roman" w:hAnsi="Times New Roman" w:cs="Times New Roman"/>
          <w:i/>
          <w:iCs/>
          <w:color w:val="000000" w:themeColor="text1"/>
          <w:sz w:val="24"/>
          <w:szCs w:val="24"/>
        </w:rPr>
        <w:t>Construction Management and Economics</w:t>
      </w:r>
      <w:r w:rsidRPr="00424F0C">
        <w:rPr>
          <w:rFonts w:ascii="Times New Roman" w:eastAsia="Times New Roman" w:hAnsi="Times New Roman" w:cs="Times New Roman"/>
          <w:color w:val="000000" w:themeColor="text1"/>
          <w:sz w:val="24"/>
          <w:szCs w:val="24"/>
        </w:rPr>
        <w:t>, 39(1), pp.55–72. DOI: 10.1080/01446193.2020.1802768.</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Cross, L. (2012). </w:t>
      </w:r>
      <w:r w:rsidRPr="00424F0C">
        <w:rPr>
          <w:rFonts w:ascii="Times New Roman" w:eastAsia="Times New Roman" w:hAnsi="Times New Roman" w:cs="Times New Roman"/>
          <w:i/>
          <w:iCs/>
          <w:color w:val="000000" w:themeColor="text1"/>
          <w:sz w:val="24"/>
          <w:szCs w:val="24"/>
        </w:rPr>
        <w:t>Sir Robert McAlpine proposes to lend lease to £550m Bloomberg HQ job</w:t>
      </w:r>
      <w:r w:rsidRPr="00424F0C">
        <w:rPr>
          <w:rFonts w:ascii="Times New Roman" w:eastAsia="Times New Roman" w:hAnsi="Times New Roman" w:cs="Times New Roman"/>
          <w:color w:val="000000" w:themeColor="text1"/>
          <w:sz w:val="24"/>
          <w:szCs w:val="24"/>
        </w:rPr>
        <w:t xml:space="preserve">. [online] Construction </w:t>
      </w:r>
      <w:r w:rsidRPr="00424F0C">
        <w:rPr>
          <w:rFonts w:ascii="Times New Roman" w:eastAsia="Times New Roman" w:hAnsi="Times New Roman" w:cs="Times New Roman"/>
          <w:color w:val="000000" w:themeColor="text1"/>
          <w:sz w:val="24"/>
          <w:szCs w:val="24"/>
        </w:rPr>
        <w:t>News. Available at: https://www.constructionnews.co.uk/sections/news/sir-robert-mcalpine-beats-lend-lease-to-550m-bloomberg-hq-job-06-03-2012/ [Accessed 26 Aug.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Dp9.co.uk (2022). </w:t>
      </w:r>
      <w:r w:rsidRPr="00424F0C">
        <w:rPr>
          <w:rFonts w:ascii="Times New Roman" w:eastAsia="Times New Roman" w:hAnsi="Times New Roman" w:cs="Times New Roman"/>
          <w:i/>
          <w:iCs/>
          <w:color w:val="000000" w:themeColor="text1"/>
          <w:sz w:val="24"/>
          <w:szCs w:val="24"/>
        </w:rPr>
        <w:t>Bloomberg’s new European Headquarters</w:t>
      </w:r>
      <w:r w:rsidRPr="00424F0C">
        <w:rPr>
          <w:rFonts w:ascii="Times New Roman" w:eastAsia="Times New Roman" w:hAnsi="Times New Roman" w:cs="Times New Roman"/>
          <w:color w:val="000000" w:themeColor="text1"/>
          <w:sz w:val="24"/>
          <w:szCs w:val="24"/>
        </w:rPr>
        <w:t>. [online] Dp9.co.uk. Available a</w:t>
      </w:r>
      <w:r w:rsidRPr="00424F0C">
        <w:rPr>
          <w:rFonts w:ascii="Times New Roman" w:eastAsia="Times New Roman" w:hAnsi="Times New Roman" w:cs="Times New Roman"/>
          <w:color w:val="000000" w:themeColor="text1"/>
          <w:sz w:val="24"/>
          <w:szCs w:val="24"/>
        </w:rPr>
        <w:t>t: https://dp9.co.uk/project/bloomberg/ [Accessed 26 Aug.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Foster Partners (2017). </w:t>
      </w:r>
      <w:r w:rsidRPr="00424F0C">
        <w:rPr>
          <w:rFonts w:ascii="Times New Roman" w:eastAsia="Times New Roman" w:hAnsi="Times New Roman" w:cs="Times New Roman"/>
          <w:i/>
          <w:iCs/>
          <w:color w:val="000000" w:themeColor="text1"/>
          <w:sz w:val="24"/>
          <w:szCs w:val="24"/>
        </w:rPr>
        <w:t>Bloomberg’s New European headquarters launched in the City of London</w:t>
      </w:r>
      <w:r w:rsidRPr="00424F0C">
        <w:rPr>
          <w:rFonts w:ascii="Times New Roman" w:eastAsia="Times New Roman" w:hAnsi="Times New Roman" w:cs="Times New Roman"/>
          <w:color w:val="000000" w:themeColor="text1"/>
          <w:sz w:val="24"/>
          <w:szCs w:val="24"/>
        </w:rPr>
        <w:t>. [online] Foster Partners. Available at: http://fosterandpartners.com/ [Accessed 26 Aug.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Gov.UK (2024). </w:t>
      </w:r>
      <w:r w:rsidRPr="00424F0C">
        <w:rPr>
          <w:rFonts w:ascii="Times New Roman" w:eastAsia="Times New Roman" w:hAnsi="Times New Roman" w:cs="Times New Roman"/>
          <w:i/>
          <w:iCs/>
          <w:color w:val="000000" w:themeColor="text1"/>
          <w:sz w:val="24"/>
          <w:szCs w:val="24"/>
        </w:rPr>
        <w:t>Analysis of the National Infrastructure and Construction Pipeline 2023 reporting to Cabinet Office and HM Treasury</w:t>
      </w:r>
      <w:r w:rsidRPr="00424F0C">
        <w:rPr>
          <w:rFonts w:ascii="Times New Roman" w:eastAsia="Times New Roman" w:hAnsi="Times New Roman" w:cs="Times New Roman"/>
          <w:color w:val="000000" w:themeColor="text1"/>
          <w:sz w:val="24"/>
          <w:szCs w:val="24"/>
        </w:rPr>
        <w:t xml:space="preserve">. [online] </w:t>
      </w:r>
      <w:r w:rsidRPr="00424F0C">
        <w:rPr>
          <w:rFonts w:ascii="Times New Roman" w:eastAsia="Times New Roman" w:hAnsi="Times New Roman" w:cs="Times New Roman"/>
          <w:i/>
          <w:iCs/>
          <w:color w:val="000000" w:themeColor="text1"/>
          <w:sz w:val="24"/>
          <w:szCs w:val="24"/>
        </w:rPr>
        <w:t>Assets.publishing.service.gov.uk</w:t>
      </w:r>
      <w:r w:rsidRPr="00424F0C">
        <w:rPr>
          <w:rFonts w:ascii="Times New Roman" w:eastAsia="Times New Roman" w:hAnsi="Times New Roman" w:cs="Times New Roman"/>
          <w:color w:val="000000" w:themeColor="text1"/>
          <w:sz w:val="24"/>
          <w:szCs w:val="24"/>
        </w:rPr>
        <w:t>, London, England: Assets.publishing.service.gov.uk, pp.1–43. Available at: https://</w:t>
      </w:r>
      <w:r w:rsidRPr="00424F0C">
        <w:rPr>
          <w:rFonts w:ascii="Times New Roman" w:eastAsia="Times New Roman" w:hAnsi="Times New Roman" w:cs="Times New Roman"/>
          <w:color w:val="000000" w:themeColor="text1"/>
          <w:sz w:val="24"/>
          <w:szCs w:val="24"/>
        </w:rPr>
        <w:t>assets.publishing.service.gov.uk/media/65bb845421f73f000de0ba66/CCS0723973198-002_PN7393387_IPA_National_Infrastructure_and_Construction_Pipeline_Web_Accessible_converted.pdf [Accessed 26 Aug.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Gunduz, M. and Mohammad, K.O. (2020). Assessment of chan</w:t>
      </w:r>
      <w:r w:rsidRPr="00424F0C">
        <w:rPr>
          <w:rFonts w:ascii="Times New Roman" w:eastAsia="Times New Roman" w:hAnsi="Times New Roman" w:cs="Times New Roman"/>
          <w:color w:val="000000" w:themeColor="text1"/>
          <w:sz w:val="24"/>
          <w:szCs w:val="24"/>
        </w:rPr>
        <w:t xml:space="preserve">ge order impact factors on construction project performance using analytic hierarchy process (AHP). </w:t>
      </w:r>
      <w:r w:rsidRPr="00424F0C">
        <w:rPr>
          <w:rFonts w:ascii="Times New Roman" w:eastAsia="Times New Roman" w:hAnsi="Times New Roman" w:cs="Times New Roman"/>
          <w:i/>
          <w:iCs/>
          <w:color w:val="000000" w:themeColor="text1"/>
          <w:sz w:val="24"/>
          <w:szCs w:val="24"/>
        </w:rPr>
        <w:t>Technological and Economic Development of Economy</w:t>
      </w:r>
      <w:r w:rsidRPr="00424F0C">
        <w:rPr>
          <w:rFonts w:ascii="Times New Roman" w:eastAsia="Times New Roman" w:hAnsi="Times New Roman" w:cs="Times New Roman"/>
          <w:color w:val="000000" w:themeColor="text1"/>
          <w:sz w:val="24"/>
          <w:szCs w:val="24"/>
        </w:rPr>
        <w:t>, 26(1), pp.71–85. Doi: 10.3846/tede.2019.11262.</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lastRenderedPageBreak/>
        <w:t>Kallow, M.A., Bodla, A.A., Ejaz, A. and Ishaq, M.R. (2022)</w:t>
      </w:r>
      <w:r w:rsidRPr="00424F0C">
        <w:rPr>
          <w:rFonts w:ascii="Times New Roman" w:eastAsia="Times New Roman" w:hAnsi="Times New Roman" w:cs="Times New Roman"/>
          <w:color w:val="000000" w:themeColor="text1"/>
          <w:sz w:val="24"/>
          <w:szCs w:val="24"/>
        </w:rPr>
        <w:t xml:space="preserve">. How do risk management practices lead to project success in the construction industry? The mediated moderation of risk coping capacity and risk transparency. </w:t>
      </w:r>
      <w:r w:rsidRPr="00424F0C">
        <w:rPr>
          <w:rFonts w:ascii="Times New Roman" w:eastAsia="Times New Roman" w:hAnsi="Times New Roman" w:cs="Times New Roman"/>
          <w:i/>
          <w:iCs/>
          <w:color w:val="000000" w:themeColor="text1"/>
          <w:sz w:val="24"/>
          <w:szCs w:val="24"/>
        </w:rPr>
        <w:t>International Journal of Construction Management</w:t>
      </w:r>
      <w:r w:rsidRPr="00424F0C">
        <w:rPr>
          <w:rFonts w:ascii="Times New Roman" w:eastAsia="Times New Roman" w:hAnsi="Times New Roman" w:cs="Times New Roman"/>
          <w:color w:val="000000" w:themeColor="text1"/>
          <w:sz w:val="24"/>
          <w:szCs w:val="24"/>
        </w:rPr>
        <w:t>, 23(16), pp.2779–2787. DOI: 10.1080/15623599.20</w:t>
      </w:r>
      <w:r w:rsidRPr="00424F0C">
        <w:rPr>
          <w:rFonts w:ascii="Times New Roman" w:eastAsia="Times New Roman" w:hAnsi="Times New Roman" w:cs="Times New Roman"/>
          <w:color w:val="000000" w:themeColor="text1"/>
          <w:sz w:val="24"/>
          <w:szCs w:val="24"/>
        </w:rPr>
        <w:t>22.2095719.</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Lapidus, A., Topchiy, D., Kuzmina, T. and Chapidze, O. (2022). Influence of the construction risks on the cost and duration of a project. </w:t>
      </w:r>
      <w:r w:rsidRPr="00424F0C">
        <w:rPr>
          <w:rFonts w:ascii="Times New Roman" w:eastAsia="Times New Roman" w:hAnsi="Times New Roman" w:cs="Times New Roman"/>
          <w:i/>
          <w:iCs/>
          <w:color w:val="000000" w:themeColor="text1"/>
          <w:sz w:val="24"/>
          <w:szCs w:val="24"/>
        </w:rPr>
        <w:t>Buildings</w:t>
      </w:r>
      <w:r w:rsidRPr="00424F0C">
        <w:rPr>
          <w:rFonts w:ascii="Times New Roman" w:eastAsia="Times New Roman" w:hAnsi="Times New Roman" w:cs="Times New Roman"/>
          <w:color w:val="000000" w:themeColor="text1"/>
          <w:sz w:val="24"/>
          <w:szCs w:val="24"/>
        </w:rPr>
        <w:t>, [online] 12(4), p.484. DOI: 10.3390/buildings12040484.</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Love, P.E.D., Ika, L.A., Ahiaga-Dagbui, </w:t>
      </w:r>
      <w:r w:rsidRPr="00424F0C">
        <w:rPr>
          <w:rFonts w:ascii="Times New Roman" w:eastAsia="Times New Roman" w:hAnsi="Times New Roman" w:cs="Times New Roman"/>
          <w:color w:val="000000" w:themeColor="text1"/>
          <w:sz w:val="24"/>
          <w:szCs w:val="24"/>
        </w:rPr>
        <w:t xml:space="preserve">D.D., Locatelli, G. and Sing, M.C.P. (2019). Make-or-break during production: Shedding light on change orders, rework and contractors' margin in construction. </w:t>
      </w:r>
      <w:r w:rsidRPr="00424F0C">
        <w:rPr>
          <w:rFonts w:ascii="Times New Roman" w:eastAsia="Times New Roman" w:hAnsi="Times New Roman" w:cs="Times New Roman"/>
          <w:i/>
          <w:iCs/>
          <w:color w:val="000000" w:themeColor="text1"/>
          <w:sz w:val="24"/>
          <w:szCs w:val="24"/>
        </w:rPr>
        <w:t>Production Planning &amp; Control</w:t>
      </w:r>
      <w:r w:rsidRPr="00424F0C">
        <w:rPr>
          <w:rFonts w:ascii="Times New Roman" w:eastAsia="Times New Roman" w:hAnsi="Times New Roman" w:cs="Times New Roman"/>
          <w:color w:val="000000" w:themeColor="text1"/>
          <w:sz w:val="24"/>
          <w:szCs w:val="24"/>
        </w:rPr>
        <w:t>, 30(4), pp.285–298. DOI: 10.1080/09537287.2018.1535675.</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Nabawy, M.,</w:t>
      </w:r>
      <w:r w:rsidRPr="00424F0C">
        <w:rPr>
          <w:rFonts w:ascii="Times New Roman" w:eastAsia="Times New Roman" w:hAnsi="Times New Roman" w:cs="Times New Roman"/>
          <w:color w:val="000000" w:themeColor="text1"/>
          <w:sz w:val="24"/>
          <w:szCs w:val="24"/>
        </w:rPr>
        <w:t xml:space="preserve"> Ofori, G., Morcos, M. and Egbu, C. (2020). Risk identification framework in construction of Egyptian mega housing projects. </w:t>
      </w:r>
      <w:r w:rsidRPr="00424F0C">
        <w:rPr>
          <w:rFonts w:ascii="Times New Roman" w:eastAsia="Times New Roman" w:hAnsi="Times New Roman" w:cs="Times New Roman"/>
          <w:i/>
          <w:iCs/>
          <w:color w:val="000000" w:themeColor="text1"/>
          <w:sz w:val="24"/>
          <w:szCs w:val="24"/>
        </w:rPr>
        <w:t>Ain Shams Engineering Journal</w:t>
      </w:r>
      <w:r w:rsidRPr="00424F0C">
        <w:rPr>
          <w:rFonts w:ascii="Times New Roman" w:eastAsia="Times New Roman" w:hAnsi="Times New Roman" w:cs="Times New Roman"/>
          <w:color w:val="000000" w:themeColor="text1"/>
          <w:sz w:val="24"/>
          <w:szCs w:val="24"/>
        </w:rPr>
        <w:t>, 12(2), pp.1489–1499. DOI: 10.1016/j.asej.2020.09.016.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Naji, K.K., Gunduz, M. and Naser, A.F. (2022).</w:t>
      </w:r>
      <w:r w:rsidRPr="00424F0C">
        <w:rPr>
          <w:rFonts w:ascii="Times New Roman" w:eastAsia="Times New Roman" w:hAnsi="Times New Roman" w:cs="Times New Roman"/>
          <w:color w:val="000000" w:themeColor="text1"/>
          <w:sz w:val="24"/>
          <w:szCs w:val="24"/>
        </w:rPr>
        <w:t xml:space="preserve"> An adaptive neurofuzzy inference system for the assessment of Change Order Management performance in construction. </w:t>
      </w:r>
      <w:r w:rsidRPr="00424F0C">
        <w:rPr>
          <w:rFonts w:ascii="Times New Roman" w:eastAsia="Times New Roman" w:hAnsi="Times New Roman" w:cs="Times New Roman"/>
          <w:i/>
          <w:iCs/>
          <w:color w:val="000000" w:themeColor="text1"/>
          <w:sz w:val="24"/>
          <w:szCs w:val="24"/>
        </w:rPr>
        <w:t>Journal of Management in Engineering</w:t>
      </w:r>
      <w:r w:rsidRPr="00424F0C">
        <w:rPr>
          <w:rFonts w:ascii="Times New Roman" w:eastAsia="Times New Roman" w:hAnsi="Times New Roman" w:cs="Times New Roman"/>
          <w:color w:val="000000" w:themeColor="text1"/>
          <w:sz w:val="24"/>
          <w:szCs w:val="24"/>
        </w:rPr>
        <w:t>, 38(2), p.04021098. Doi: 10.1061/(asce)me.1943-5479.0001017.</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Netlify.app (2021). </w:t>
      </w:r>
      <w:r w:rsidRPr="00424F0C">
        <w:rPr>
          <w:rFonts w:ascii="Times New Roman" w:eastAsia="Times New Roman" w:hAnsi="Times New Roman" w:cs="Times New Roman"/>
          <w:i/>
          <w:iCs/>
          <w:color w:val="000000" w:themeColor="text1"/>
          <w:sz w:val="24"/>
          <w:szCs w:val="24"/>
        </w:rPr>
        <w:t>Bloomberg London: Deli</w:t>
      </w:r>
      <w:r w:rsidRPr="00424F0C">
        <w:rPr>
          <w:rFonts w:ascii="Times New Roman" w:eastAsia="Times New Roman" w:hAnsi="Times New Roman" w:cs="Times New Roman"/>
          <w:i/>
          <w:iCs/>
          <w:color w:val="000000" w:themeColor="text1"/>
          <w:sz w:val="24"/>
          <w:szCs w:val="24"/>
        </w:rPr>
        <w:t>vering the world’s most sustainable office building with Bloomberg</w:t>
      </w:r>
      <w:r w:rsidRPr="00424F0C">
        <w:rPr>
          <w:rFonts w:ascii="Times New Roman" w:eastAsia="Times New Roman" w:hAnsi="Times New Roman" w:cs="Times New Roman"/>
          <w:color w:val="000000" w:themeColor="text1"/>
          <w:sz w:val="24"/>
          <w:szCs w:val="24"/>
        </w:rPr>
        <w:t>. [online] Netlify.app. Available at: https://stanhope-plc.netlify.app/project/bloomberg-london/ [Accessed 11 Sept.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Nguyen, V.T. and Do, S.T. (2021). Assessing the relationship chain </w:t>
      </w:r>
      <w:r w:rsidRPr="00424F0C">
        <w:rPr>
          <w:rFonts w:ascii="Times New Roman" w:eastAsia="Times New Roman" w:hAnsi="Times New Roman" w:cs="Times New Roman"/>
          <w:color w:val="000000" w:themeColor="text1"/>
          <w:sz w:val="24"/>
          <w:szCs w:val="24"/>
        </w:rPr>
        <w:t xml:space="preserve">among causes of variation orders, project performance, and stakeholder performance in construction projects. </w:t>
      </w:r>
      <w:r w:rsidRPr="00424F0C">
        <w:rPr>
          <w:rFonts w:ascii="Times New Roman" w:eastAsia="Times New Roman" w:hAnsi="Times New Roman" w:cs="Times New Roman"/>
          <w:i/>
          <w:iCs/>
          <w:color w:val="000000" w:themeColor="text1"/>
          <w:sz w:val="24"/>
          <w:szCs w:val="24"/>
        </w:rPr>
        <w:t>International Journal of Construction Management</w:t>
      </w:r>
      <w:r w:rsidRPr="00424F0C">
        <w:rPr>
          <w:rFonts w:ascii="Times New Roman" w:eastAsia="Times New Roman" w:hAnsi="Times New Roman" w:cs="Times New Roman"/>
          <w:color w:val="000000" w:themeColor="text1"/>
          <w:sz w:val="24"/>
          <w:szCs w:val="24"/>
        </w:rPr>
        <w:t>, 23(9), pp.1592–1602. DOI: 10.1080/15623599.2021.1988197.</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Opoku, De G.J., Perera, S., Osei-Kyei, R</w:t>
      </w:r>
      <w:r w:rsidRPr="00424F0C">
        <w:rPr>
          <w:rFonts w:ascii="Times New Roman" w:eastAsia="Times New Roman" w:hAnsi="Times New Roman" w:cs="Times New Roman"/>
          <w:color w:val="000000" w:themeColor="text1"/>
          <w:sz w:val="24"/>
          <w:szCs w:val="24"/>
        </w:rPr>
        <w:t xml:space="preserve">. and Rashidi, M. (2021). Digital twin application in the construction industry: A literature review. </w:t>
      </w:r>
      <w:r w:rsidRPr="00424F0C">
        <w:rPr>
          <w:rFonts w:ascii="Times New Roman" w:eastAsia="Times New Roman" w:hAnsi="Times New Roman" w:cs="Times New Roman"/>
          <w:i/>
          <w:iCs/>
          <w:color w:val="000000" w:themeColor="text1"/>
          <w:sz w:val="24"/>
          <w:szCs w:val="24"/>
        </w:rPr>
        <w:t>Journal of Building Engineering</w:t>
      </w:r>
      <w:r w:rsidRPr="00424F0C">
        <w:rPr>
          <w:rFonts w:ascii="Times New Roman" w:eastAsia="Times New Roman" w:hAnsi="Times New Roman" w:cs="Times New Roman"/>
          <w:color w:val="000000" w:themeColor="text1"/>
          <w:sz w:val="24"/>
          <w:szCs w:val="24"/>
        </w:rPr>
        <w:t>, 40(1), p.102726. DOI: 10.1016/j.jobe.2021.102726.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lastRenderedPageBreak/>
        <w:t>Padala, S.P.S., Maheswari, J.U. and Hirani, H. (2022). Identification a</w:t>
      </w:r>
      <w:r w:rsidRPr="00424F0C">
        <w:rPr>
          <w:rFonts w:ascii="Times New Roman" w:eastAsia="Times New Roman" w:hAnsi="Times New Roman" w:cs="Times New Roman"/>
          <w:color w:val="000000" w:themeColor="text1"/>
          <w:sz w:val="24"/>
          <w:szCs w:val="24"/>
        </w:rPr>
        <w:t xml:space="preserve">nd classification of change causes and effects in construction projects. </w:t>
      </w:r>
      <w:r w:rsidRPr="00424F0C">
        <w:rPr>
          <w:rFonts w:ascii="Times New Roman" w:eastAsia="Times New Roman" w:hAnsi="Times New Roman" w:cs="Times New Roman"/>
          <w:i/>
          <w:iCs/>
          <w:color w:val="000000" w:themeColor="text1"/>
          <w:sz w:val="24"/>
          <w:szCs w:val="24"/>
        </w:rPr>
        <w:t>International Journal of Construction Management</w:t>
      </w:r>
      <w:r w:rsidRPr="00424F0C">
        <w:rPr>
          <w:rFonts w:ascii="Times New Roman" w:eastAsia="Times New Roman" w:hAnsi="Times New Roman" w:cs="Times New Roman"/>
          <w:color w:val="000000" w:themeColor="text1"/>
          <w:sz w:val="24"/>
          <w:szCs w:val="24"/>
        </w:rPr>
        <w:t>, 22(14), pp.2788–2807. doi:10.1080/15623599.2020.1827186.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Rehman, M.S.U., Thaheem, M.J., Nasir, A.R. and Khan, K.I.A. (2020). Project </w:t>
      </w:r>
      <w:r w:rsidRPr="00424F0C">
        <w:rPr>
          <w:rFonts w:ascii="Times New Roman" w:eastAsia="Times New Roman" w:hAnsi="Times New Roman" w:cs="Times New Roman"/>
          <w:color w:val="000000" w:themeColor="text1"/>
          <w:sz w:val="24"/>
          <w:szCs w:val="24"/>
        </w:rPr>
        <w:t xml:space="preserve">schedule risk management through building information modelling. </w:t>
      </w:r>
      <w:r w:rsidRPr="00424F0C">
        <w:rPr>
          <w:rFonts w:ascii="Times New Roman" w:eastAsia="Times New Roman" w:hAnsi="Times New Roman" w:cs="Times New Roman"/>
          <w:i/>
          <w:iCs/>
          <w:color w:val="000000" w:themeColor="text1"/>
          <w:sz w:val="24"/>
          <w:szCs w:val="24"/>
        </w:rPr>
        <w:t>International Journal of Construction Management</w:t>
      </w:r>
      <w:r w:rsidRPr="00424F0C">
        <w:rPr>
          <w:rFonts w:ascii="Times New Roman" w:eastAsia="Times New Roman" w:hAnsi="Times New Roman" w:cs="Times New Roman"/>
          <w:color w:val="000000" w:themeColor="text1"/>
          <w:sz w:val="24"/>
          <w:szCs w:val="24"/>
        </w:rPr>
        <w:t>, 22(8), pp.1489–1499. DOI: 10.1080/15623599.2020.1728606.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Robert Bird Group (2016). </w:t>
      </w:r>
      <w:r w:rsidRPr="00424F0C">
        <w:rPr>
          <w:rFonts w:ascii="Times New Roman" w:eastAsia="Times New Roman" w:hAnsi="Times New Roman" w:cs="Times New Roman"/>
          <w:i/>
          <w:iCs/>
          <w:color w:val="000000" w:themeColor="text1"/>
          <w:sz w:val="24"/>
          <w:szCs w:val="24"/>
        </w:rPr>
        <w:t>Bloomberg: Robert Bird Group</w:t>
      </w:r>
      <w:r w:rsidRPr="00424F0C">
        <w:rPr>
          <w:rFonts w:ascii="Times New Roman" w:eastAsia="Times New Roman" w:hAnsi="Times New Roman" w:cs="Times New Roman"/>
          <w:color w:val="000000" w:themeColor="text1"/>
          <w:sz w:val="24"/>
          <w:szCs w:val="24"/>
        </w:rPr>
        <w:t xml:space="preserve">. [online] Robert Bird Group. </w:t>
      </w:r>
      <w:r w:rsidRPr="00424F0C">
        <w:rPr>
          <w:rFonts w:ascii="Times New Roman" w:eastAsia="Times New Roman" w:hAnsi="Times New Roman" w:cs="Times New Roman"/>
          <w:color w:val="000000" w:themeColor="text1"/>
          <w:sz w:val="24"/>
          <w:szCs w:val="24"/>
        </w:rPr>
        <w:t>Available at: https://www.robertbird.com/rbg-projects/bloomberg/ [Accessed 24 Aug. 2026].</w:t>
      </w:r>
    </w:p>
    <w:p w:rsidR="00424F0C"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Shrestha, P.P., Shrestha, K.K. and Zeleke, H.B. (2019). Probability of change orders and the effect on cost and schedule for new public school buildings. </w:t>
      </w:r>
      <w:r w:rsidRPr="00424F0C">
        <w:rPr>
          <w:rFonts w:ascii="Times New Roman" w:eastAsia="Times New Roman" w:hAnsi="Times New Roman" w:cs="Times New Roman"/>
          <w:i/>
          <w:iCs/>
          <w:color w:val="000000" w:themeColor="text1"/>
          <w:sz w:val="24"/>
          <w:szCs w:val="24"/>
        </w:rPr>
        <w:t>Engineering,</w:t>
      </w:r>
      <w:r w:rsidRPr="00424F0C">
        <w:rPr>
          <w:rFonts w:ascii="Times New Roman" w:eastAsia="Times New Roman" w:hAnsi="Times New Roman" w:cs="Times New Roman"/>
          <w:i/>
          <w:iCs/>
          <w:color w:val="000000" w:themeColor="text1"/>
          <w:sz w:val="24"/>
          <w:szCs w:val="24"/>
        </w:rPr>
        <w:t xml:space="preserve"> Construction and Architectural Management</w:t>
      </w:r>
      <w:r w:rsidRPr="00424F0C">
        <w:rPr>
          <w:rFonts w:ascii="Times New Roman" w:eastAsia="Times New Roman" w:hAnsi="Times New Roman" w:cs="Times New Roman"/>
          <w:color w:val="000000" w:themeColor="text1"/>
          <w:sz w:val="24"/>
          <w:szCs w:val="24"/>
        </w:rPr>
        <w:t>, 26(6), pp.1087–1104. DOI: 10.1108/ecam-01-2018-0017.</w:t>
      </w:r>
    </w:p>
    <w:p w:rsidR="00295FC9" w:rsidRPr="00424F0C" w:rsidRDefault="0093609B" w:rsidP="00424F0C">
      <w:pPr>
        <w:spacing w:after="240" w:line="360" w:lineRule="auto"/>
        <w:jc w:val="both"/>
        <w:rPr>
          <w:rFonts w:ascii="Times New Roman" w:eastAsia="Times New Roman" w:hAnsi="Times New Roman" w:cs="Times New Roman"/>
          <w:color w:val="000000" w:themeColor="text1"/>
          <w:sz w:val="24"/>
          <w:szCs w:val="24"/>
        </w:rPr>
      </w:pPr>
      <w:r w:rsidRPr="00424F0C">
        <w:rPr>
          <w:rFonts w:ascii="Times New Roman" w:eastAsia="Times New Roman" w:hAnsi="Times New Roman" w:cs="Times New Roman"/>
          <w:color w:val="000000" w:themeColor="text1"/>
          <w:sz w:val="24"/>
          <w:szCs w:val="24"/>
        </w:rPr>
        <w:t xml:space="preserve">Taylor, M. (2018). </w:t>
      </w:r>
      <w:r w:rsidRPr="00424F0C">
        <w:rPr>
          <w:rFonts w:ascii="Times New Roman" w:eastAsia="Times New Roman" w:hAnsi="Times New Roman" w:cs="Times New Roman"/>
          <w:i/>
          <w:iCs/>
          <w:color w:val="000000" w:themeColor="text1"/>
          <w:sz w:val="24"/>
          <w:szCs w:val="24"/>
        </w:rPr>
        <w:t>Crossrail project: Application of BIM (building information modelling) and lessons learned</w:t>
      </w:r>
      <w:r w:rsidRPr="00424F0C">
        <w:rPr>
          <w:rFonts w:ascii="Times New Roman" w:eastAsia="Times New Roman" w:hAnsi="Times New Roman" w:cs="Times New Roman"/>
          <w:color w:val="000000" w:themeColor="text1"/>
          <w:sz w:val="24"/>
          <w:szCs w:val="24"/>
        </w:rPr>
        <w:t xml:space="preserve">. [online] Crossrail Learning Legacy. Available </w:t>
      </w:r>
      <w:r w:rsidRPr="00424F0C">
        <w:rPr>
          <w:rFonts w:ascii="Times New Roman" w:eastAsia="Times New Roman" w:hAnsi="Times New Roman" w:cs="Times New Roman"/>
          <w:color w:val="000000" w:themeColor="text1"/>
          <w:sz w:val="24"/>
          <w:szCs w:val="24"/>
        </w:rPr>
        <w:t>at: https://learninglegacy.crossrail.co.uk/documents/crossrail-project-application-of-bim-building-information-modelling-and-lessons-learned/ [Accessed 26 Aug. 2026].</w:t>
      </w:r>
    </w:p>
    <w:sectPr w:rsidR="00295FC9" w:rsidRPr="00424F0C" w:rsidSect="00DF2F7A">
      <w:footerReference w:type="default" r:id="rId10"/>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3609B" w:rsidRDefault="0093609B">
      <w:pPr>
        <w:spacing w:line="240" w:lineRule="auto"/>
      </w:pPr>
      <w:r>
        <w:separator/>
      </w:r>
    </w:p>
  </w:endnote>
  <w:endnote w:type="continuationSeparator" w:id="0">
    <w:p w:rsidR="0093609B" w:rsidRDefault="009360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86323269"/>
      <w:docPartObj>
        <w:docPartGallery w:val="Page Numbers (Bottom of Page)"/>
        <w:docPartUnique/>
      </w:docPartObj>
    </w:sdtPr>
    <w:sdtEndPr>
      <w:rPr>
        <w:noProof/>
      </w:rPr>
    </w:sdtEndPr>
    <w:sdtContent>
      <w:p w:rsidR="00DF2F7A" w:rsidRDefault="0093609B">
        <w:pPr>
          <w:pStyle w:val="Footer"/>
          <w:jc w:val="right"/>
        </w:pPr>
        <w:r>
          <w:fldChar w:fldCharType="begin"/>
        </w:r>
        <w:r>
          <w:instrText xml:space="preserve"> PAGE   \* MERGEFOR</w:instrText>
        </w:r>
        <w:r>
          <w:instrText xml:space="preserve">MAT </w:instrText>
        </w:r>
        <w:r>
          <w:fldChar w:fldCharType="separate"/>
        </w:r>
        <w:r w:rsidR="00976F2B">
          <w:rPr>
            <w:noProof/>
          </w:rPr>
          <w:t>17</w:t>
        </w:r>
        <w:r>
          <w:rPr>
            <w:noProof/>
          </w:rPr>
          <w:fldChar w:fldCharType="end"/>
        </w:r>
      </w:p>
    </w:sdtContent>
  </w:sdt>
  <w:p w:rsidR="00DF2F7A" w:rsidRDefault="00DF2F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3609B" w:rsidRDefault="0093609B">
      <w:pPr>
        <w:spacing w:line="240" w:lineRule="auto"/>
      </w:pPr>
      <w:r>
        <w:separator/>
      </w:r>
    </w:p>
  </w:footnote>
  <w:footnote w:type="continuationSeparator" w:id="0">
    <w:p w:rsidR="0093609B" w:rsidRDefault="0093609B">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enableOpenTypeFeatures" w:uri="http://schemas.microsoft.com/office/word" w:val="1"/>
    <w:compatSetting w:name="doNotFlipMirrorIndents" w:uri="http://schemas.microsoft.com/office/word" w:val="1"/>
  </w:compat>
  <w:rsids>
    <w:rsidRoot w:val="00295FC9"/>
    <w:rsid w:val="00187BD5"/>
    <w:rsid w:val="00295FC9"/>
    <w:rsid w:val="002A3650"/>
    <w:rsid w:val="002E3B7C"/>
    <w:rsid w:val="00424F0C"/>
    <w:rsid w:val="004C2953"/>
    <w:rsid w:val="004D6E3E"/>
    <w:rsid w:val="00586093"/>
    <w:rsid w:val="00666FC3"/>
    <w:rsid w:val="006F53CD"/>
    <w:rsid w:val="00700856"/>
    <w:rsid w:val="00767F23"/>
    <w:rsid w:val="0093609B"/>
    <w:rsid w:val="00976F2B"/>
    <w:rsid w:val="00A7668F"/>
    <w:rsid w:val="00C13208"/>
    <w:rsid w:val="00D95A64"/>
    <w:rsid w:val="00DF2F7A"/>
    <w:rsid w:val="00E36B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424F0C"/>
    <w:pPr>
      <w:keepNext/>
      <w:keepLines/>
      <w:spacing w:before="400" w:after="120" w:line="360" w:lineRule="auto"/>
      <w:jc w:val="both"/>
      <w:outlineLvl w:val="0"/>
    </w:pPr>
    <w:rPr>
      <w:rFonts w:ascii="Times New Roman" w:hAnsi="Times New Roman"/>
      <w:b/>
      <w:sz w:val="28"/>
      <w:szCs w:val="40"/>
    </w:rPr>
  </w:style>
  <w:style w:type="paragraph" w:styleId="Heading2">
    <w:name w:val="heading 2"/>
    <w:basedOn w:val="Normal"/>
    <w:next w:val="Normal"/>
    <w:rsid w:val="00424F0C"/>
    <w:pPr>
      <w:keepNext/>
      <w:keepLines/>
      <w:spacing w:before="360" w:after="120" w:line="360" w:lineRule="auto"/>
      <w:jc w:val="both"/>
      <w:outlineLvl w:val="1"/>
    </w:pPr>
    <w:rPr>
      <w:rFonts w:ascii="Times New Roman" w:hAnsi="Times New Roman"/>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name w:val="a"/>
    <w:basedOn w:val="TableNormal0"/>
    <w:tblPr>
      <w:tblStyleRowBandSize w:val="1"/>
      <w:tblStyleColBandSize w:val="1"/>
      <w:tblCellMar>
        <w:top w:w="100" w:type="dxa"/>
        <w:left w:w="100" w:type="dxa"/>
        <w:bottom w:w="100" w:type="dxa"/>
        <w:right w:w="100" w:type="dxa"/>
      </w:tblCellMar>
    </w:tblPr>
  </w:style>
  <w:style w:type="table" w:customStyle="1" w:styleId="a0">
    <w:name w:val="a0"/>
    <w:basedOn w:val="TableNormal0"/>
    <w:tblPr>
      <w:tblStyleRowBandSize w:val="1"/>
      <w:tblStyleColBandSize w:val="1"/>
      <w:tblCellMar>
        <w:top w:w="100" w:type="dxa"/>
        <w:left w:w="100" w:type="dxa"/>
        <w:bottom w:w="100" w:type="dxa"/>
        <w:right w:w="100" w:type="dxa"/>
      </w:tblCellMar>
    </w:tblPr>
  </w:style>
  <w:style w:type="table" w:customStyle="1" w:styleId="a1">
    <w:name w:val="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F2F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F7A"/>
    <w:rPr>
      <w:rFonts w:ascii="Tahoma" w:hAnsi="Tahoma" w:cs="Tahoma"/>
      <w:sz w:val="16"/>
      <w:szCs w:val="16"/>
    </w:rPr>
  </w:style>
  <w:style w:type="paragraph" w:styleId="Header">
    <w:name w:val="header"/>
    <w:basedOn w:val="Normal"/>
    <w:link w:val="HeaderChar"/>
    <w:uiPriority w:val="99"/>
    <w:unhideWhenUsed/>
    <w:rsid w:val="00DF2F7A"/>
    <w:pPr>
      <w:tabs>
        <w:tab w:val="center" w:pos="4513"/>
        <w:tab w:val="right" w:pos="9026"/>
      </w:tabs>
      <w:spacing w:line="240" w:lineRule="auto"/>
    </w:pPr>
  </w:style>
  <w:style w:type="character" w:customStyle="1" w:styleId="HeaderChar">
    <w:name w:val="Header Char"/>
    <w:basedOn w:val="DefaultParagraphFont"/>
    <w:link w:val="Header"/>
    <w:uiPriority w:val="99"/>
    <w:rsid w:val="00DF2F7A"/>
  </w:style>
  <w:style w:type="paragraph" w:styleId="Footer">
    <w:name w:val="footer"/>
    <w:basedOn w:val="Normal"/>
    <w:link w:val="FooterChar"/>
    <w:uiPriority w:val="99"/>
    <w:unhideWhenUsed/>
    <w:rsid w:val="00DF2F7A"/>
    <w:pPr>
      <w:tabs>
        <w:tab w:val="center" w:pos="4513"/>
        <w:tab w:val="right" w:pos="9026"/>
      </w:tabs>
      <w:spacing w:line="240" w:lineRule="auto"/>
    </w:pPr>
  </w:style>
  <w:style w:type="character" w:customStyle="1" w:styleId="FooterChar">
    <w:name w:val="Footer Char"/>
    <w:basedOn w:val="DefaultParagraphFont"/>
    <w:link w:val="Footer"/>
    <w:uiPriority w:val="99"/>
    <w:rsid w:val="00DF2F7A"/>
  </w:style>
  <w:style w:type="paragraph" w:styleId="TOCHeading">
    <w:name w:val="TOC Heading"/>
    <w:basedOn w:val="Heading1"/>
    <w:next w:val="Normal"/>
    <w:uiPriority w:val="39"/>
    <w:semiHidden/>
    <w:unhideWhenUsed/>
    <w:qFormat/>
    <w:rsid w:val="00424F0C"/>
    <w:pPr>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424F0C"/>
    <w:pPr>
      <w:spacing w:after="100"/>
    </w:pPr>
  </w:style>
  <w:style w:type="paragraph" w:styleId="TOC2">
    <w:name w:val="toc 2"/>
    <w:basedOn w:val="Normal"/>
    <w:next w:val="Normal"/>
    <w:autoRedefine/>
    <w:uiPriority w:val="39"/>
    <w:unhideWhenUsed/>
    <w:rsid w:val="00424F0C"/>
    <w:pPr>
      <w:spacing w:after="100"/>
      <w:ind w:left="220"/>
    </w:pPr>
  </w:style>
  <w:style w:type="character" w:styleId="Hyperlink">
    <w:name w:val="Hyperlink"/>
    <w:basedOn w:val="DefaultParagraphFont"/>
    <w:uiPriority w:val="99"/>
    <w:unhideWhenUsed/>
    <w:rsid w:val="00424F0C"/>
    <w:rPr>
      <w:color w:val="0000FF" w:themeColor="hyperlink"/>
      <w:u w:val="single"/>
    </w:rPr>
  </w:style>
  <w:style w:type="paragraph" w:styleId="Caption">
    <w:name w:val="caption"/>
    <w:basedOn w:val="Normal"/>
    <w:next w:val="Normal"/>
    <w:uiPriority w:val="35"/>
    <w:unhideWhenUsed/>
    <w:qFormat/>
    <w:rsid w:val="004D6E3E"/>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4D6E3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rsid w:val="00424F0C"/>
    <w:pPr>
      <w:keepNext/>
      <w:keepLines/>
      <w:spacing w:before="400" w:after="120" w:line="360" w:lineRule="auto"/>
      <w:jc w:val="both"/>
      <w:outlineLvl w:val="0"/>
    </w:pPr>
    <w:rPr>
      <w:rFonts w:ascii="Times New Roman" w:hAnsi="Times New Roman"/>
      <w:b/>
      <w:sz w:val="28"/>
      <w:szCs w:val="40"/>
    </w:rPr>
  </w:style>
  <w:style w:type="paragraph" w:styleId="Heading2">
    <w:name w:val="heading 2"/>
    <w:basedOn w:val="Normal"/>
    <w:next w:val="Normal"/>
    <w:rsid w:val="00424F0C"/>
    <w:pPr>
      <w:keepNext/>
      <w:keepLines/>
      <w:spacing w:before="360" w:after="120" w:line="360" w:lineRule="auto"/>
      <w:jc w:val="both"/>
      <w:outlineLvl w:val="1"/>
    </w:pPr>
    <w:rPr>
      <w:rFonts w:ascii="Times New Roman" w:hAnsi="Times New Roman"/>
      <w:b/>
      <w:sz w:val="24"/>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name w:val="a"/>
    <w:basedOn w:val="TableNormal0"/>
    <w:tblPr>
      <w:tblStyleRowBandSize w:val="1"/>
      <w:tblStyleColBandSize w:val="1"/>
      <w:tblCellMar>
        <w:top w:w="100" w:type="dxa"/>
        <w:left w:w="100" w:type="dxa"/>
        <w:bottom w:w="100" w:type="dxa"/>
        <w:right w:w="100" w:type="dxa"/>
      </w:tblCellMar>
    </w:tblPr>
  </w:style>
  <w:style w:type="table" w:customStyle="1" w:styleId="a0">
    <w:name w:val="a0"/>
    <w:basedOn w:val="TableNormal0"/>
    <w:tblPr>
      <w:tblStyleRowBandSize w:val="1"/>
      <w:tblStyleColBandSize w:val="1"/>
      <w:tblCellMar>
        <w:top w:w="100" w:type="dxa"/>
        <w:left w:w="100" w:type="dxa"/>
        <w:bottom w:w="100" w:type="dxa"/>
        <w:right w:w="100" w:type="dxa"/>
      </w:tblCellMar>
    </w:tblPr>
  </w:style>
  <w:style w:type="table" w:customStyle="1" w:styleId="a1">
    <w:name w:val="a1"/>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DF2F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2F7A"/>
    <w:rPr>
      <w:rFonts w:ascii="Tahoma" w:hAnsi="Tahoma" w:cs="Tahoma"/>
      <w:sz w:val="16"/>
      <w:szCs w:val="16"/>
    </w:rPr>
  </w:style>
  <w:style w:type="paragraph" w:styleId="Header">
    <w:name w:val="header"/>
    <w:basedOn w:val="Normal"/>
    <w:link w:val="HeaderChar"/>
    <w:uiPriority w:val="99"/>
    <w:unhideWhenUsed/>
    <w:rsid w:val="00DF2F7A"/>
    <w:pPr>
      <w:tabs>
        <w:tab w:val="center" w:pos="4513"/>
        <w:tab w:val="right" w:pos="9026"/>
      </w:tabs>
      <w:spacing w:line="240" w:lineRule="auto"/>
    </w:pPr>
  </w:style>
  <w:style w:type="character" w:customStyle="1" w:styleId="HeaderChar">
    <w:name w:val="Header Char"/>
    <w:basedOn w:val="DefaultParagraphFont"/>
    <w:link w:val="Header"/>
    <w:uiPriority w:val="99"/>
    <w:rsid w:val="00DF2F7A"/>
  </w:style>
  <w:style w:type="paragraph" w:styleId="Footer">
    <w:name w:val="footer"/>
    <w:basedOn w:val="Normal"/>
    <w:link w:val="FooterChar"/>
    <w:uiPriority w:val="99"/>
    <w:unhideWhenUsed/>
    <w:rsid w:val="00DF2F7A"/>
    <w:pPr>
      <w:tabs>
        <w:tab w:val="center" w:pos="4513"/>
        <w:tab w:val="right" w:pos="9026"/>
      </w:tabs>
      <w:spacing w:line="240" w:lineRule="auto"/>
    </w:pPr>
  </w:style>
  <w:style w:type="character" w:customStyle="1" w:styleId="FooterChar">
    <w:name w:val="Footer Char"/>
    <w:basedOn w:val="DefaultParagraphFont"/>
    <w:link w:val="Footer"/>
    <w:uiPriority w:val="99"/>
    <w:rsid w:val="00DF2F7A"/>
  </w:style>
  <w:style w:type="paragraph" w:styleId="TOCHeading">
    <w:name w:val="TOC Heading"/>
    <w:basedOn w:val="Heading1"/>
    <w:next w:val="Normal"/>
    <w:uiPriority w:val="39"/>
    <w:semiHidden/>
    <w:unhideWhenUsed/>
    <w:qFormat/>
    <w:rsid w:val="00424F0C"/>
    <w:pPr>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TOC1">
    <w:name w:val="toc 1"/>
    <w:basedOn w:val="Normal"/>
    <w:next w:val="Normal"/>
    <w:autoRedefine/>
    <w:uiPriority w:val="39"/>
    <w:unhideWhenUsed/>
    <w:rsid w:val="00424F0C"/>
    <w:pPr>
      <w:spacing w:after="100"/>
    </w:pPr>
  </w:style>
  <w:style w:type="paragraph" w:styleId="TOC2">
    <w:name w:val="toc 2"/>
    <w:basedOn w:val="Normal"/>
    <w:next w:val="Normal"/>
    <w:autoRedefine/>
    <w:uiPriority w:val="39"/>
    <w:unhideWhenUsed/>
    <w:rsid w:val="00424F0C"/>
    <w:pPr>
      <w:spacing w:after="100"/>
      <w:ind w:left="220"/>
    </w:pPr>
  </w:style>
  <w:style w:type="character" w:styleId="Hyperlink">
    <w:name w:val="Hyperlink"/>
    <w:basedOn w:val="DefaultParagraphFont"/>
    <w:uiPriority w:val="99"/>
    <w:unhideWhenUsed/>
    <w:rsid w:val="00424F0C"/>
    <w:rPr>
      <w:color w:val="0000FF" w:themeColor="hyperlink"/>
      <w:u w:val="single"/>
    </w:rPr>
  </w:style>
  <w:style w:type="paragraph" w:styleId="Caption">
    <w:name w:val="caption"/>
    <w:basedOn w:val="Normal"/>
    <w:next w:val="Normal"/>
    <w:uiPriority w:val="35"/>
    <w:unhideWhenUsed/>
    <w:qFormat/>
    <w:rsid w:val="004D6E3E"/>
    <w:pPr>
      <w:spacing w:after="200" w:line="240" w:lineRule="auto"/>
    </w:pPr>
    <w:rPr>
      <w:b/>
      <w:bCs/>
      <w:color w:val="4F81BD" w:themeColor="accent1"/>
      <w:sz w:val="18"/>
      <w:szCs w:val="18"/>
    </w:rPr>
  </w:style>
  <w:style w:type="paragraph" w:styleId="TableofFigures">
    <w:name w:val="table of figures"/>
    <w:basedOn w:val="Normal"/>
    <w:next w:val="Normal"/>
    <w:uiPriority w:val="99"/>
    <w:unhideWhenUsed/>
    <w:rsid w:val="004D6E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B57641-C317-4BCC-A45C-009DE2E1B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3942</Words>
  <Characters>22472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Rahul Sharma</cp:lastModifiedBy>
  <cp:revision>15</cp:revision>
  <dcterms:created xsi:type="dcterms:W3CDTF">2026-09-12T08:59:00Z</dcterms:created>
  <dcterms:modified xsi:type="dcterms:W3CDTF">2026-09-12T09:57:00Z</dcterms:modified>
</cp:coreProperties>
</file>