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5407" w:rsidRDefault="001C5407">
      <w:pPr>
        <w:pStyle w:val="Title"/>
        <w:jc w:val="center"/>
      </w:pPr>
      <w:bookmarkStart w:id="0" w:name="_jpxga2kxpvib" w:colFirst="0" w:colLast="0"/>
      <w:bookmarkEnd w:id="0"/>
    </w:p>
    <w:p w14:paraId="00000002" w14:textId="77777777" w:rsidR="001C5407" w:rsidRDefault="001C5407">
      <w:pPr>
        <w:pStyle w:val="Title"/>
        <w:jc w:val="center"/>
      </w:pPr>
      <w:bookmarkStart w:id="1" w:name="_95s5q0rbi6n7" w:colFirst="0" w:colLast="0"/>
      <w:bookmarkEnd w:id="1"/>
    </w:p>
    <w:p w14:paraId="00000003" w14:textId="77777777" w:rsidR="001C5407" w:rsidRDefault="001C5407">
      <w:pPr>
        <w:pStyle w:val="Title"/>
        <w:jc w:val="center"/>
      </w:pPr>
      <w:bookmarkStart w:id="2" w:name="_1wuyrsedmczc" w:colFirst="0" w:colLast="0"/>
      <w:bookmarkEnd w:id="2"/>
    </w:p>
    <w:p w14:paraId="00000004" w14:textId="77777777" w:rsidR="001C5407" w:rsidRDefault="001C5407">
      <w:pPr>
        <w:pStyle w:val="Title"/>
        <w:jc w:val="center"/>
      </w:pPr>
      <w:bookmarkStart w:id="3" w:name="_yjgguzc00od6" w:colFirst="0" w:colLast="0"/>
      <w:bookmarkEnd w:id="3"/>
    </w:p>
    <w:p w14:paraId="00000005" w14:textId="77777777" w:rsidR="001C5407" w:rsidRDefault="001C5407">
      <w:pPr>
        <w:pStyle w:val="Title"/>
        <w:jc w:val="center"/>
      </w:pPr>
      <w:bookmarkStart w:id="4" w:name="_m2rlzbmqvzqe" w:colFirst="0" w:colLast="0"/>
      <w:bookmarkEnd w:id="4"/>
    </w:p>
    <w:p w14:paraId="00000006" w14:textId="77777777" w:rsidR="001C5407" w:rsidRDefault="001C5407">
      <w:pPr>
        <w:pStyle w:val="Title"/>
        <w:jc w:val="center"/>
      </w:pPr>
      <w:bookmarkStart w:id="5" w:name="_8429jc93mz0r" w:colFirst="0" w:colLast="0"/>
      <w:bookmarkEnd w:id="5"/>
    </w:p>
    <w:p w14:paraId="00000007" w14:textId="77777777" w:rsidR="001C5407" w:rsidRDefault="001C5407">
      <w:pPr>
        <w:pStyle w:val="Title"/>
        <w:jc w:val="center"/>
      </w:pPr>
      <w:bookmarkStart w:id="6" w:name="_ef10ukfjdgx8" w:colFirst="0" w:colLast="0"/>
      <w:bookmarkEnd w:id="6"/>
    </w:p>
    <w:p w14:paraId="00000008" w14:textId="77777777" w:rsidR="001C5407" w:rsidRDefault="001C5407">
      <w:pPr>
        <w:pStyle w:val="Title"/>
        <w:jc w:val="center"/>
      </w:pPr>
      <w:bookmarkStart w:id="7" w:name="_21bgfd2b4rjs" w:colFirst="0" w:colLast="0"/>
      <w:bookmarkEnd w:id="7"/>
    </w:p>
    <w:p w14:paraId="00000009" w14:textId="77777777" w:rsidR="001C5407" w:rsidRDefault="00000000">
      <w:pPr>
        <w:pStyle w:val="Title"/>
        <w:jc w:val="center"/>
      </w:pPr>
      <w:bookmarkStart w:id="8" w:name="_wa8tx12bopdq" w:colFirst="0" w:colLast="0"/>
      <w:bookmarkEnd w:id="8"/>
      <w:r>
        <w:t xml:space="preserve">WORKERS AND INDUSTRIALISATION: ASSESSING THE POLITICAL, ECONOMIC, AND SOCIAL RESPONSES OF THE BRITISH WORKING CLASS </w:t>
      </w:r>
      <w:r>
        <w:br w:type="page"/>
      </w:r>
    </w:p>
    <w:bookmarkStart w:id="9" w:name="_axy1v95x21qh" w:colFirst="0" w:colLast="0" w:displacedByCustomXml="next"/>
    <w:bookmarkEnd w:id="9" w:displacedByCustomXml="next"/>
    <w:sdt>
      <w:sdtPr>
        <w:id w:val="-88079168"/>
        <w:docPartObj>
          <w:docPartGallery w:val="Table of Contents"/>
          <w:docPartUnique/>
        </w:docPartObj>
      </w:sdtPr>
      <w:sdtEndPr>
        <w:rPr>
          <w:rFonts w:ascii="Times New Roman" w:eastAsia="Times New Roman" w:hAnsi="Times New Roman" w:cs="Times New Roman"/>
          <w:b/>
          <w:bCs/>
          <w:noProof/>
          <w:color w:val="auto"/>
          <w:sz w:val="24"/>
          <w:szCs w:val="24"/>
          <w:lang w:val="en-GB" w:eastAsia="en-IN"/>
        </w:rPr>
      </w:sdtEndPr>
      <w:sdtContent>
        <w:p w14:paraId="24F3E891" w14:textId="0D3B0C02" w:rsidR="00CF0FF4" w:rsidRPr="00CF0FF4" w:rsidRDefault="00CF0FF4" w:rsidP="00CF0FF4">
          <w:pPr>
            <w:pStyle w:val="TOCHeading"/>
            <w:spacing w:line="360" w:lineRule="auto"/>
            <w:jc w:val="center"/>
            <w:rPr>
              <w:rFonts w:ascii="Times New Roman" w:hAnsi="Times New Roman" w:cs="Times New Roman"/>
              <w:b/>
              <w:bCs/>
              <w:color w:val="auto"/>
              <w:sz w:val="28"/>
              <w:szCs w:val="28"/>
            </w:rPr>
          </w:pPr>
          <w:r w:rsidRPr="00CF0FF4">
            <w:rPr>
              <w:rFonts w:ascii="Times New Roman" w:hAnsi="Times New Roman" w:cs="Times New Roman"/>
              <w:b/>
              <w:bCs/>
              <w:color w:val="auto"/>
              <w:sz w:val="28"/>
              <w:szCs w:val="28"/>
            </w:rPr>
            <w:t>Table of Contents</w:t>
          </w:r>
        </w:p>
        <w:p w14:paraId="4B627C75" w14:textId="2C39C5CC" w:rsidR="00CF0FF4" w:rsidRDefault="00CF0FF4" w:rsidP="00CF0FF4">
          <w:pPr>
            <w:pStyle w:val="TOC1"/>
            <w:tabs>
              <w:tab w:val="right" w:leader="dot" w:pos="9350"/>
            </w:tabs>
            <w:rPr>
              <w:noProof/>
            </w:rPr>
          </w:pPr>
          <w:r>
            <w:fldChar w:fldCharType="begin"/>
          </w:r>
          <w:r>
            <w:instrText xml:space="preserve"> TOC \o "1-3" \h \z \u </w:instrText>
          </w:r>
          <w:r>
            <w:fldChar w:fldCharType="separate"/>
          </w:r>
          <w:hyperlink w:anchor="_Toc240127122" w:history="1">
            <w:r w:rsidRPr="00F5529F">
              <w:rPr>
                <w:rStyle w:val="Hyperlink"/>
                <w:noProof/>
              </w:rPr>
              <w:t>1. Introduction</w:t>
            </w:r>
            <w:r>
              <w:rPr>
                <w:noProof/>
                <w:webHidden/>
              </w:rPr>
              <w:tab/>
            </w:r>
            <w:r>
              <w:rPr>
                <w:noProof/>
                <w:webHidden/>
              </w:rPr>
              <w:fldChar w:fldCharType="begin"/>
            </w:r>
            <w:r>
              <w:rPr>
                <w:noProof/>
                <w:webHidden/>
              </w:rPr>
              <w:instrText xml:space="preserve"> PAGEREF _Toc240127122 \h </w:instrText>
            </w:r>
            <w:r>
              <w:rPr>
                <w:noProof/>
                <w:webHidden/>
              </w:rPr>
            </w:r>
            <w:r>
              <w:rPr>
                <w:noProof/>
                <w:webHidden/>
              </w:rPr>
              <w:fldChar w:fldCharType="separate"/>
            </w:r>
            <w:r>
              <w:rPr>
                <w:noProof/>
                <w:webHidden/>
              </w:rPr>
              <w:t>3</w:t>
            </w:r>
            <w:r>
              <w:rPr>
                <w:noProof/>
                <w:webHidden/>
              </w:rPr>
              <w:fldChar w:fldCharType="end"/>
            </w:r>
          </w:hyperlink>
        </w:p>
        <w:p w14:paraId="1C4D813A" w14:textId="451BF9AB" w:rsidR="00CF0FF4" w:rsidRDefault="00CF0FF4" w:rsidP="00CF0FF4">
          <w:pPr>
            <w:pStyle w:val="TOC1"/>
            <w:tabs>
              <w:tab w:val="right" w:leader="dot" w:pos="9350"/>
            </w:tabs>
            <w:rPr>
              <w:noProof/>
            </w:rPr>
          </w:pPr>
          <w:hyperlink w:anchor="_Toc240127123" w:history="1">
            <w:r w:rsidRPr="00F5529F">
              <w:rPr>
                <w:rStyle w:val="Hyperlink"/>
                <w:noProof/>
              </w:rPr>
              <w:t>2. Industrialisation and Changing Working-Class Conditions</w:t>
            </w:r>
            <w:r>
              <w:rPr>
                <w:noProof/>
                <w:webHidden/>
              </w:rPr>
              <w:tab/>
            </w:r>
            <w:r>
              <w:rPr>
                <w:noProof/>
                <w:webHidden/>
              </w:rPr>
              <w:fldChar w:fldCharType="begin"/>
            </w:r>
            <w:r>
              <w:rPr>
                <w:noProof/>
                <w:webHidden/>
              </w:rPr>
              <w:instrText xml:space="preserve"> PAGEREF _Toc240127123 \h </w:instrText>
            </w:r>
            <w:r>
              <w:rPr>
                <w:noProof/>
                <w:webHidden/>
              </w:rPr>
            </w:r>
            <w:r>
              <w:rPr>
                <w:noProof/>
                <w:webHidden/>
              </w:rPr>
              <w:fldChar w:fldCharType="separate"/>
            </w:r>
            <w:r>
              <w:rPr>
                <w:noProof/>
                <w:webHidden/>
              </w:rPr>
              <w:t>3</w:t>
            </w:r>
            <w:r>
              <w:rPr>
                <w:noProof/>
                <w:webHidden/>
              </w:rPr>
              <w:fldChar w:fldCharType="end"/>
            </w:r>
          </w:hyperlink>
        </w:p>
        <w:p w14:paraId="6463570C" w14:textId="5D3B1891" w:rsidR="00CF0FF4" w:rsidRDefault="00CF0FF4" w:rsidP="00CF0FF4">
          <w:pPr>
            <w:pStyle w:val="TOC1"/>
            <w:tabs>
              <w:tab w:val="right" w:leader="dot" w:pos="9350"/>
            </w:tabs>
            <w:rPr>
              <w:noProof/>
            </w:rPr>
          </w:pPr>
          <w:hyperlink w:anchor="_Toc240127124" w:history="1">
            <w:r w:rsidRPr="00F5529F">
              <w:rPr>
                <w:rStyle w:val="Hyperlink"/>
                <w:noProof/>
              </w:rPr>
              <w:t>3. Political Radicalism and Chartism</w:t>
            </w:r>
            <w:r>
              <w:rPr>
                <w:noProof/>
                <w:webHidden/>
              </w:rPr>
              <w:tab/>
            </w:r>
            <w:r>
              <w:rPr>
                <w:noProof/>
                <w:webHidden/>
              </w:rPr>
              <w:fldChar w:fldCharType="begin"/>
            </w:r>
            <w:r>
              <w:rPr>
                <w:noProof/>
                <w:webHidden/>
              </w:rPr>
              <w:instrText xml:space="preserve"> PAGEREF _Toc240127124 \h </w:instrText>
            </w:r>
            <w:r>
              <w:rPr>
                <w:noProof/>
                <w:webHidden/>
              </w:rPr>
            </w:r>
            <w:r>
              <w:rPr>
                <w:noProof/>
                <w:webHidden/>
              </w:rPr>
              <w:fldChar w:fldCharType="separate"/>
            </w:r>
            <w:r>
              <w:rPr>
                <w:noProof/>
                <w:webHidden/>
              </w:rPr>
              <w:t>4</w:t>
            </w:r>
            <w:r>
              <w:rPr>
                <w:noProof/>
                <w:webHidden/>
              </w:rPr>
              <w:fldChar w:fldCharType="end"/>
            </w:r>
          </w:hyperlink>
        </w:p>
        <w:p w14:paraId="520F646A" w14:textId="55F9C7C9" w:rsidR="00CF0FF4" w:rsidRDefault="00CF0FF4" w:rsidP="00CF0FF4">
          <w:pPr>
            <w:pStyle w:val="TOC1"/>
            <w:tabs>
              <w:tab w:val="right" w:leader="dot" w:pos="9350"/>
            </w:tabs>
            <w:rPr>
              <w:noProof/>
            </w:rPr>
          </w:pPr>
          <w:hyperlink w:anchor="_Toc240127125" w:history="1">
            <w:r w:rsidRPr="00F5529F">
              <w:rPr>
                <w:rStyle w:val="Hyperlink"/>
                <w:noProof/>
              </w:rPr>
              <w:t>4. Limits of the Political Response</w:t>
            </w:r>
            <w:r>
              <w:rPr>
                <w:noProof/>
                <w:webHidden/>
              </w:rPr>
              <w:tab/>
            </w:r>
            <w:r>
              <w:rPr>
                <w:noProof/>
                <w:webHidden/>
              </w:rPr>
              <w:fldChar w:fldCharType="begin"/>
            </w:r>
            <w:r>
              <w:rPr>
                <w:noProof/>
                <w:webHidden/>
              </w:rPr>
              <w:instrText xml:space="preserve"> PAGEREF _Toc240127125 \h </w:instrText>
            </w:r>
            <w:r>
              <w:rPr>
                <w:noProof/>
                <w:webHidden/>
              </w:rPr>
            </w:r>
            <w:r>
              <w:rPr>
                <w:noProof/>
                <w:webHidden/>
              </w:rPr>
              <w:fldChar w:fldCharType="separate"/>
            </w:r>
            <w:r>
              <w:rPr>
                <w:noProof/>
                <w:webHidden/>
              </w:rPr>
              <w:t>5</w:t>
            </w:r>
            <w:r>
              <w:rPr>
                <w:noProof/>
                <w:webHidden/>
              </w:rPr>
              <w:fldChar w:fldCharType="end"/>
            </w:r>
          </w:hyperlink>
        </w:p>
        <w:p w14:paraId="338C166B" w14:textId="3F795FE0" w:rsidR="00CF0FF4" w:rsidRDefault="00CF0FF4" w:rsidP="00CF0FF4">
          <w:pPr>
            <w:pStyle w:val="TOC1"/>
            <w:tabs>
              <w:tab w:val="right" w:leader="dot" w:pos="9350"/>
            </w:tabs>
            <w:rPr>
              <w:noProof/>
            </w:rPr>
          </w:pPr>
          <w:hyperlink w:anchor="_Toc240127126" w:history="1">
            <w:r w:rsidRPr="00F5529F">
              <w:rPr>
                <w:rStyle w:val="Hyperlink"/>
                <w:noProof/>
              </w:rPr>
              <w:t>5. Trade Unionism and Industrial Organisation</w:t>
            </w:r>
            <w:r>
              <w:rPr>
                <w:noProof/>
                <w:webHidden/>
              </w:rPr>
              <w:tab/>
            </w:r>
            <w:r>
              <w:rPr>
                <w:noProof/>
                <w:webHidden/>
              </w:rPr>
              <w:fldChar w:fldCharType="begin"/>
            </w:r>
            <w:r>
              <w:rPr>
                <w:noProof/>
                <w:webHidden/>
              </w:rPr>
              <w:instrText xml:space="preserve"> PAGEREF _Toc240127126 \h </w:instrText>
            </w:r>
            <w:r>
              <w:rPr>
                <w:noProof/>
                <w:webHidden/>
              </w:rPr>
            </w:r>
            <w:r>
              <w:rPr>
                <w:noProof/>
                <w:webHidden/>
              </w:rPr>
              <w:fldChar w:fldCharType="separate"/>
            </w:r>
            <w:r>
              <w:rPr>
                <w:noProof/>
                <w:webHidden/>
              </w:rPr>
              <w:t>6</w:t>
            </w:r>
            <w:r>
              <w:rPr>
                <w:noProof/>
                <w:webHidden/>
              </w:rPr>
              <w:fldChar w:fldCharType="end"/>
            </w:r>
          </w:hyperlink>
        </w:p>
        <w:p w14:paraId="2044CD88" w14:textId="302BB233" w:rsidR="00CF0FF4" w:rsidRDefault="00CF0FF4" w:rsidP="00CF0FF4">
          <w:pPr>
            <w:pStyle w:val="TOC1"/>
            <w:tabs>
              <w:tab w:val="right" w:leader="dot" w:pos="9350"/>
            </w:tabs>
            <w:rPr>
              <w:noProof/>
            </w:rPr>
          </w:pPr>
          <w:hyperlink w:anchor="_Toc240127127" w:history="1">
            <w:r w:rsidRPr="00F5529F">
              <w:rPr>
                <w:rStyle w:val="Hyperlink"/>
                <w:noProof/>
              </w:rPr>
              <w:t>6. Strikes, Wages and Workplace Resistance</w:t>
            </w:r>
            <w:r>
              <w:rPr>
                <w:noProof/>
                <w:webHidden/>
              </w:rPr>
              <w:tab/>
            </w:r>
            <w:r>
              <w:rPr>
                <w:noProof/>
                <w:webHidden/>
              </w:rPr>
              <w:fldChar w:fldCharType="begin"/>
            </w:r>
            <w:r>
              <w:rPr>
                <w:noProof/>
                <w:webHidden/>
              </w:rPr>
              <w:instrText xml:space="preserve"> PAGEREF _Toc240127127 \h </w:instrText>
            </w:r>
            <w:r>
              <w:rPr>
                <w:noProof/>
                <w:webHidden/>
              </w:rPr>
            </w:r>
            <w:r>
              <w:rPr>
                <w:noProof/>
                <w:webHidden/>
              </w:rPr>
              <w:fldChar w:fldCharType="separate"/>
            </w:r>
            <w:r>
              <w:rPr>
                <w:noProof/>
                <w:webHidden/>
              </w:rPr>
              <w:t>7</w:t>
            </w:r>
            <w:r>
              <w:rPr>
                <w:noProof/>
                <w:webHidden/>
              </w:rPr>
              <w:fldChar w:fldCharType="end"/>
            </w:r>
          </w:hyperlink>
        </w:p>
        <w:p w14:paraId="0A8D98E6" w14:textId="5B927701" w:rsidR="00CF0FF4" w:rsidRDefault="00CF0FF4" w:rsidP="00CF0FF4">
          <w:pPr>
            <w:pStyle w:val="TOC1"/>
            <w:tabs>
              <w:tab w:val="right" w:leader="dot" w:pos="9350"/>
            </w:tabs>
            <w:rPr>
              <w:noProof/>
            </w:rPr>
          </w:pPr>
          <w:hyperlink w:anchor="_Toc240127128" w:history="1">
            <w:r w:rsidRPr="00F5529F">
              <w:rPr>
                <w:rStyle w:val="Hyperlink"/>
                <w:noProof/>
              </w:rPr>
              <w:t>7. Cooperative, Mutual and Social Responses</w:t>
            </w:r>
            <w:r>
              <w:rPr>
                <w:noProof/>
                <w:webHidden/>
              </w:rPr>
              <w:tab/>
            </w:r>
            <w:r>
              <w:rPr>
                <w:noProof/>
                <w:webHidden/>
              </w:rPr>
              <w:fldChar w:fldCharType="begin"/>
            </w:r>
            <w:r>
              <w:rPr>
                <w:noProof/>
                <w:webHidden/>
              </w:rPr>
              <w:instrText xml:space="preserve"> PAGEREF _Toc240127128 \h </w:instrText>
            </w:r>
            <w:r>
              <w:rPr>
                <w:noProof/>
                <w:webHidden/>
              </w:rPr>
            </w:r>
            <w:r>
              <w:rPr>
                <w:noProof/>
                <w:webHidden/>
              </w:rPr>
              <w:fldChar w:fldCharType="separate"/>
            </w:r>
            <w:r>
              <w:rPr>
                <w:noProof/>
                <w:webHidden/>
              </w:rPr>
              <w:t>8</w:t>
            </w:r>
            <w:r>
              <w:rPr>
                <w:noProof/>
                <w:webHidden/>
              </w:rPr>
              <w:fldChar w:fldCharType="end"/>
            </w:r>
          </w:hyperlink>
        </w:p>
        <w:p w14:paraId="752F75C2" w14:textId="30BE8800" w:rsidR="00CF0FF4" w:rsidRDefault="00CF0FF4" w:rsidP="00CF0FF4">
          <w:pPr>
            <w:pStyle w:val="TOC1"/>
            <w:tabs>
              <w:tab w:val="right" w:leader="dot" w:pos="9350"/>
            </w:tabs>
            <w:rPr>
              <w:noProof/>
            </w:rPr>
          </w:pPr>
          <w:hyperlink w:anchor="_Toc240127129" w:history="1">
            <w:r w:rsidRPr="00F5529F">
              <w:rPr>
                <w:rStyle w:val="Hyperlink"/>
                <w:noProof/>
              </w:rPr>
              <w:t>8. Political and Economic Responses as Interconnected</w:t>
            </w:r>
            <w:r>
              <w:rPr>
                <w:noProof/>
                <w:webHidden/>
              </w:rPr>
              <w:tab/>
            </w:r>
            <w:r>
              <w:rPr>
                <w:noProof/>
                <w:webHidden/>
              </w:rPr>
              <w:fldChar w:fldCharType="begin"/>
            </w:r>
            <w:r>
              <w:rPr>
                <w:noProof/>
                <w:webHidden/>
              </w:rPr>
              <w:instrText xml:space="preserve"> PAGEREF _Toc240127129 \h </w:instrText>
            </w:r>
            <w:r>
              <w:rPr>
                <w:noProof/>
                <w:webHidden/>
              </w:rPr>
            </w:r>
            <w:r>
              <w:rPr>
                <w:noProof/>
                <w:webHidden/>
              </w:rPr>
              <w:fldChar w:fldCharType="separate"/>
            </w:r>
            <w:r>
              <w:rPr>
                <w:noProof/>
                <w:webHidden/>
              </w:rPr>
              <w:t>8</w:t>
            </w:r>
            <w:r>
              <w:rPr>
                <w:noProof/>
                <w:webHidden/>
              </w:rPr>
              <w:fldChar w:fldCharType="end"/>
            </w:r>
          </w:hyperlink>
        </w:p>
        <w:p w14:paraId="38C59B3F" w14:textId="3BE12B61" w:rsidR="00CF0FF4" w:rsidRDefault="00CF0FF4" w:rsidP="00CF0FF4">
          <w:pPr>
            <w:pStyle w:val="TOC1"/>
            <w:tabs>
              <w:tab w:val="right" w:leader="dot" w:pos="9350"/>
            </w:tabs>
            <w:rPr>
              <w:noProof/>
            </w:rPr>
          </w:pPr>
          <w:hyperlink w:anchor="_Toc240127130" w:history="1">
            <w:r w:rsidRPr="00F5529F">
              <w:rPr>
                <w:rStyle w:val="Hyperlink"/>
                <w:noProof/>
              </w:rPr>
              <w:t>9. Conclusion</w:t>
            </w:r>
            <w:r>
              <w:rPr>
                <w:noProof/>
                <w:webHidden/>
              </w:rPr>
              <w:tab/>
            </w:r>
            <w:r>
              <w:rPr>
                <w:noProof/>
                <w:webHidden/>
              </w:rPr>
              <w:fldChar w:fldCharType="begin"/>
            </w:r>
            <w:r>
              <w:rPr>
                <w:noProof/>
                <w:webHidden/>
              </w:rPr>
              <w:instrText xml:space="preserve"> PAGEREF _Toc240127130 \h </w:instrText>
            </w:r>
            <w:r>
              <w:rPr>
                <w:noProof/>
                <w:webHidden/>
              </w:rPr>
            </w:r>
            <w:r>
              <w:rPr>
                <w:noProof/>
                <w:webHidden/>
              </w:rPr>
              <w:fldChar w:fldCharType="separate"/>
            </w:r>
            <w:r>
              <w:rPr>
                <w:noProof/>
                <w:webHidden/>
              </w:rPr>
              <w:t>9</w:t>
            </w:r>
            <w:r>
              <w:rPr>
                <w:noProof/>
                <w:webHidden/>
              </w:rPr>
              <w:fldChar w:fldCharType="end"/>
            </w:r>
          </w:hyperlink>
        </w:p>
        <w:p w14:paraId="0FE19ED3" w14:textId="56BAD36A" w:rsidR="00CF0FF4" w:rsidRDefault="00CF0FF4" w:rsidP="00CF0FF4">
          <w:pPr>
            <w:pStyle w:val="TOC1"/>
            <w:tabs>
              <w:tab w:val="right" w:leader="dot" w:pos="9350"/>
            </w:tabs>
            <w:rPr>
              <w:noProof/>
            </w:rPr>
          </w:pPr>
          <w:hyperlink w:anchor="_Toc240127131" w:history="1">
            <w:r w:rsidRPr="00F5529F">
              <w:rPr>
                <w:rStyle w:val="Hyperlink"/>
                <w:noProof/>
              </w:rPr>
              <w:t>Bibliography</w:t>
            </w:r>
            <w:r>
              <w:rPr>
                <w:noProof/>
                <w:webHidden/>
              </w:rPr>
              <w:tab/>
            </w:r>
            <w:r>
              <w:rPr>
                <w:noProof/>
                <w:webHidden/>
              </w:rPr>
              <w:fldChar w:fldCharType="begin"/>
            </w:r>
            <w:r>
              <w:rPr>
                <w:noProof/>
                <w:webHidden/>
              </w:rPr>
              <w:instrText xml:space="preserve"> PAGEREF _Toc240127131 \h </w:instrText>
            </w:r>
            <w:r>
              <w:rPr>
                <w:noProof/>
                <w:webHidden/>
              </w:rPr>
            </w:r>
            <w:r>
              <w:rPr>
                <w:noProof/>
                <w:webHidden/>
              </w:rPr>
              <w:fldChar w:fldCharType="separate"/>
            </w:r>
            <w:r>
              <w:rPr>
                <w:noProof/>
                <w:webHidden/>
              </w:rPr>
              <w:t>10</w:t>
            </w:r>
            <w:r>
              <w:rPr>
                <w:noProof/>
                <w:webHidden/>
              </w:rPr>
              <w:fldChar w:fldCharType="end"/>
            </w:r>
          </w:hyperlink>
        </w:p>
        <w:p w14:paraId="3C2DC344" w14:textId="11DAAD67" w:rsidR="00CF0FF4" w:rsidRDefault="00CF0FF4" w:rsidP="00CF0FF4">
          <w:r>
            <w:rPr>
              <w:b/>
              <w:bCs/>
              <w:noProof/>
            </w:rPr>
            <w:fldChar w:fldCharType="end"/>
          </w:r>
        </w:p>
      </w:sdtContent>
    </w:sdt>
    <w:p w14:paraId="52029629" w14:textId="77777777" w:rsidR="00CF0FF4" w:rsidRDefault="00CF0FF4">
      <w:pPr>
        <w:rPr>
          <w:b/>
          <w:bCs/>
          <w:sz w:val="28"/>
          <w:szCs w:val="28"/>
        </w:rPr>
      </w:pPr>
      <w:r>
        <w:br w:type="page"/>
      </w:r>
    </w:p>
    <w:p w14:paraId="0000000A" w14:textId="30DAB947" w:rsidR="001C5407" w:rsidRDefault="00000000">
      <w:pPr>
        <w:pStyle w:val="Heading1"/>
      </w:pPr>
      <w:bookmarkStart w:id="10" w:name="_Toc240127122"/>
      <w:r>
        <w:lastRenderedPageBreak/>
        <w:t>1. Introduction</w:t>
      </w:r>
      <w:bookmarkEnd w:id="10"/>
    </w:p>
    <w:p w14:paraId="0000000B" w14:textId="4E6723F5" w:rsidR="001C5407" w:rsidRDefault="00000000">
      <w:pPr>
        <w:spacing w:after="80"/>
        <w:rPr>
          <w:color w:val="CC0000"/>
        </w:rPr>
      </w:pPr>
      <w:r>
        <w:rPr>
          <w:color w:val="CC0000"/>
        </w:rPr>
        <w:t>During the late eighteenth and nineteenth centuries, industrialisation drastically changed the economic and social condition of Britain's working class. With the development of mechanised production, factories and industrial towns, the traditional employment structure began to change, and the reliance of the workers on wage labour grew. At the same time, the issues about working hours, wages, discipline in the workplace, security in employment, and political representation also grew hot. Not all people from the working class responded in the same way.</w:t>
      </w:r>
      <w:r w:rsidR="009746B4">
        <w:rPr>
          <w:rStyle w:val="FootnoteReference"/>
          <w:color w:val="CC0000"/>
        </w:rPr>
        <w:footnoteReference w:id="1"/>
      </w:r>
      <w:r>
        <w:rPr>
          <w:color w:val="CC0000"/>
        </w:rPr>
        <w:t xml:space="preserve"> Increased political mobilisation was more commonly seen during the Chartist movement of the late 1830s and 1840s, which linked economic issues with parliamentary reform. Demands in the ‘People's Charter' of 1838 included citizenship for all men, annual parliaments, universal manhood suffrage, secret voting, uniform representation over the entire country, the elimination of taxpayers' qualification for MPs, as well as compensation for MPs. Workers responded in various ways, including political campaigning, strike action, wage disputes, friendly societies and cooperative organisations.</w:t>
      </w:r>
      <w:r w:rsidR="009746B4">
        <w:rPr>
          <w:rStyle w:val="FootnoteReference"/>
          <w:color w:val="CC0000"/>
        </w:rPr>
        <w:footnoteReference w:id="2"/>
      </w:r>
      <w:r>
        <w:rPr>
          <w:color w:val="CC0000"/>
        </w:rPr>
        <w:t xml:space="preserve"> Political activity was a crucial part of working-class opposition to the impact of industrialisation but was by no means invariably, or even often, the most significant. This essay suggests that British workers adopted political, industrial and social strategies based on their type of occupation, local conditions and current economic pressures.</w:t>
      </w:r>
    </w:p>
    <w:p w14:paraId="0000000C" w14:textId="77777777" w:rsidR="001C5407" w:rsidRDefault="00000000">
      <w:pPr>
        <w:pStyle w:val="Heading1"/>
        <w:spacing w:after="80"/>
      </w:pPr>
      <w:bookmarkStart w:id="11" w:name="_trivzxxxbstd" w:colFirst="0" w:colLast="0"/>
      <w:bookmarkStart w:id="12" w:name="_Toc240127123"/>
      <w:bookmarkEnd w:id="11"/>
      <w:r>
        <w:t>2. Industrialisation and Changing Working-Class Conditions</w:t>
      </w:r>
      <w:bookmarkEnd w:id="12"/>
    </w:p>
    <w:p w14:paraId="0000000D" w14:textId="68AD787F" w:rsidR="001C5407" w:rsidRDefault="00000000">
      <w:pPr>
        <w:spacing w:after="80"/>
        <w:rPr>
          <w:color w:val="CC0000"/>
        </w:rPr>
      </w:pPr>
      <w:r>
        <w:rPr>
          <w:color w:val="CC0000"/>
          <w:highlight w:val="white"/>
        </w:rPr>
        <w:t xml:space="preserve">Industrialisation had made a significant impact on the organisation of work and the work experience in nineteenth-century Britain. Mechanised production grew in the textile industry as well as in mining and other sectors, and an increasing number of workers relied on wages derived from working in factories, workshops and </w:t>
      </w:r>
      <w:proofErr w:type="gramStart"/>
      <w:r>
        <w:rPr>
          <w:color w:val="CC0000"/>
          <w:highlight w:val="white"/>
        </w:rPr>
        <w:t>mines.²</w:t>
      </w:r>
      <w:proofErr w:type="gramEnd"/>
      <w:r>
        <w:rPr>
          <w:color w:val="CC0000"/>
          <w:highlight w:val="white"/>
        </w:rPr>
        <w:t xml:space="preserve"> Factory employment brought more controlled hours of work, work supervision and production schedules than the previous household and craft-based patterns of employment.</w:t>
      </w:r>
      <w:r w:rsidR="009746B4">
        <w:rPr>
          <w:rStyle w:val="FootnoteReference"/>
          <w:color w:val="CC0000"/>
          <w:highlight w:val="white"/>
        </w:rPr>
        <w:footnoteReference w:id="3"/>
      </w:r>
      <w:r>
        <w:rPr>
          <w:color w:val="CC0000"/>
          <w:highlight w:val="white"/>
        </w:rPr>
        <w:t xml:space="preserve"> By the mid-century, industrial jobs were significant. </w:t>
      </w:r>
      <w:r>
        <w:rPr>
          <w:color w:val="CC0000"/>
        </w:rPr>
        <w:t>The 1851 census recorded</w:t>
      </w:r>
      <w:r>
        <w:rPr>
          <w:color w:val="CC0000"/>
          <w:highlight w:val="white"/>
        </w:rPr>
        <w:t xml:space="preserve"> </w:t>
      </w:r>
      <w:r>
        <w:rPr>
          <w:color w:val="CC0000"/>
        </w:rPr>
        <w:t>Cotton made 371,777 and woollen cloth 122,256 people.</w:t>
      </w:r>
      <w:r>
        <w:rPr>
          <w:color w:val="CC0000"/>
          <w:highlight w:val="white"/>
        </w:rPr>
        <w:t xml:space="preserve"> Such statistics showed the considerable size of the jobs produced by Britain's textile industries. Working conditions were also a key factor in political and social conflicts. The Factory Act of 1833 banned children under </w:t>
      </w:r>
      <w:r>
        <w:rPr>
          <w:color w:val="CC0000"/>
          <w:highlight w:val="white"/>
        </w:rPr>
        <w:lastRenderedPageBreak/>
        <w:t>9 from working in factories, and children aged 9-13 from working more than 8 hours in a day. It also established a factory inspectorate, though initially four inspectors worked under the jurisdiction of the inspectorate, spending their time inspecting around 4000 mills. Women, girls and those under 10 years old were then prohibited from working underground by the Mines and Collieries Act 1842. In 1847 Parliament added further regulations pursuant to the Factory Act of the preceding year, in which ages thirteen to eighteen were classified as women and young people, and a ten-hour working day was adopted. These were part of a reaction to long working hours, unsafe working conditions, and the impact industrial discipline had on working families. These changes in the workplace were not the same for all workers. The impact of industrialisation differed according to occupation, skill, gender, and locality, which also affected the type of resistance used by the workers. Some traditional artisans' livelihoods were at risk due to mechanisation, and there were disputes with the factory and mine workers about hours, wages, and control of the workplace.</w:t>
      </w:r>
      <w:r w:rsidR="009746B4">
        <w:rPr>
          <w:rStyle w:val="FootnoteReference"/>
          <w:color w:val="CC0000"/>
          <w:highlight w:val="white"/>
        </w:rPr>
        <w:footnoteReference w:id="4"/>
      </w:r>
      <w:r>
        <w:rPr>
          <w:color w:val="CC0000"/>
          <w:highlight w:val="white"/>
        </w:rPr>
        <w:t xml:space="preserve"> There was a variety of working-class responses, thus going from the campaign for parliamentary reform to strike, trade societies and mutual assistance and cooperative organisation. As a result, industrialisation generated no single working-class reaction, but rather a variety of reactions, depending upon the varying economic and social pressures</w:t>
      </w:r>
      <w:r>
        <w:rPr>
          <w:color w:val="CC0000"/>
        </w:rPr>
        <w:t>.</w:t>
      </w:r>
    </w:p>
    <w:p w14:paraId="0000000E" w14:textId="77777777" w:rsidR="001C5407" w:rsidRDefault="00000000">
      <w:pPr>
        <w:pStyle w:val="Heading1"/>
        <w:keepNext w:val="0"/>
        <w:keepLines w:val="0"/>
        <w:spacing w:after="80"/>
      </w:pPr>
      <w:bookmarkStart w:id="13" w:name="_61smegwo996v" w:colFirst="0" w:colLast="0"/>
      <w:bookmarkStart w:id="14" w:name="_Toc240127124"/>
      <w:bookmarkEnd w:id="13"/>
      <w:r>
        <w:t>3. Political Radicalism and Chartism</w:t>
      </w:r>
      <w:bookmarkEnd w:id="14"/>
    </w:p>
    <w:p w14:paraId="0000000F" w14:textId="21E50B46" w:rsidR="001C5407" w:rsidRDefault="00000000">
      <w:pPr>
        <w:spacing w:after="80"/>
        <w:rPr>
          <w:color w:val="CC0000"/>
        </w:rPr>
      </w:pPr>
      <w:r>
        <w:rPr>
          <w:color w:val="CC0000"/>
          <w:highlight w:val="white"/>
        </w:rPr>
        <w:t>One of the most conspicuous working-class reactions to industrialisation was political mobilisation. Chartism was a movement which developed in the wake of the Reform Act of 1832, which failed to give voting rights to most working-class men. In 1836, the London Working Men's Association (LWA) was founded, and that same year, with the input of William Lovett and Francis Place, the LWA formulated the People's Charter of 1838. The Charter called for universal manhood suffrage, secret balloting, annual parliaments, equal electoral districts, payment of MPs, and abolition. Political exclusion was linked to economic grievances of the working class through the matter of qualification of the property for MPs. The size of the Chartist petitioning a powerful indication of the strength of the movement.</w:t>
      </w:r>
      <w:r w:rsidR="009746B4">
        <w:rPr>
          <w:rStyle w:val="FootnoteReference"/>
          <w:color w:val="CC0000"/>
          <w:highlight w:val="white"/>
        </w:rPr>
        <w:footnoteReference w:id="5"/>
      </w:r>
      <w:r>
        <w:rPr>
          <w:color w:val="CC0000"/>
          <w:highlight w:val="white"/>
        </w:rPr>
        <w:t xml:space="preserve"> The first National Petition of 14 June 1839 was signed by more than 1.28 million, and collected from at least half a thousand public meetings. Thomas Attwood's comment was that these meetings were a 'cry of distress'. On 12 July 1839, though, </w:t>
      </w:r>
      <w:r>
        <w:rPr>
          <w:color w:val="CC0000"/>
          <w:highlight w:val="white"/>
        </w:rPr>
        <w:lastRenderedPageBreak/>
        <w:t>Parliament voted by 235 votes to 46 to prevent consideration of the petition. This grievance later grew and finally, in November 1839, in Newport, 22 Chartists or more are said to have been killed, an event known as the Newport Rising. The Chartist mobilisation continued to grow in the next year, with some 3.3 million signing the second petition. It included a call for the Charter and economic issues, such as reduction of hours, and showed the linkages between political and economic issues in the grievances. This again prompted a rejection of the movement's demands by Parliament. There was then a period of industrial strife that saw both political and economic protest converge in 1842. In 1848, Feargus O’Connor organized the meeting on Kennington Common and presented a third petition, and Chartism was still prominent. O'Connor gathered 5.75 million signatures, but Parliament returned slightly less than two million.</w:t>
      </w:r>
      <w:r w:rsidR="009746B4">
        <w:rPr>
          <w:rStyle w:val="FootnoteReference"/>
          <w:color w:val="CC0000"/>
          <w:highlight w:val="white"/>
        </w:rPr>
        <w:footnoteReference w:id="6"/>
      </w:r>
      <w:r>
        <w:rPr>
          <w:color w:val="CC0000"/>
          <w:highlight w:val="white"/>
        </w:rPr>
        <w:t xml:space="preserve"> Although in terms of political influence Chartism has been in a state of ebb and flow, it produced a common culture of working-class politics such as public meetings, local associations, political songs and the Northern Star. </w:t>
      </w:r>
      <w:proofErr w:type="gramStart"/>
      <w:r>
        <w:rPr>
          <w:color w:val="CC0000"/>
          <w:highlight w:val="white"/>
        </w:rPr>
        <w:t>So</w:t>
      </w:r>
      <w:proofErr w:type="gramEnd"/>
      <w:r>
        <w:rPr>
          <w:color w:val="CC0000"/>
          <w:highlight w:val="white"/>
        </w:rPr>
        <w:t xml:space="preserve"> Chartism illustrated the significance of political mobilisation and that working-class reactions to industrialisation had a mixed political and economic element</w:t>
      </w:r>
      <w:r>
        <w:rPr>
          <w:color w:val="CC0000"/>
        </w:rPr>
        <w:t>.</w:t>
      </w:r>
    </w:p>
    <w:p w14:paraId="00000010" w14:textId="77777777" w:rsidR="001C5407" w:rsidRDefault="00000000">
      <w:pPr>
        <w:pStyle w:val="Heading1"/>
        <w:spacing w:after="80"/>
      </w:pPr>
      <w:bookmarkStart w:id="15" w:name="_otd7awwxya1r" w:colFirst="0" w:colLast="0"/>
      <w:bookmarkStart w:id="16" w:name="_Toc240127125"/>
      <w:bookmarkEnd w:id="15"/>
      <w:r>
        <w:t>4. Limits of the Political Response</w:t>
      </w:r>
      <w:bookmarkEnd w:id="16"/>
    </w:p>
    <w:p w14:paraId="00000011" w14:textId="6A3124CF" w:rsidR="001C5407" w:rsidRDefault="00000000">
      <w:pPr>
        <w:spacing w:before="240" w:after="240"/>
        <w:rPr>
          <w:color w:val="CC0000"/>
        </w:rPr>
      </w:pPr>
      <w:r>
        <w:rPr>
          <w:color w:val="CC0000"/>
          <w:highlight w:val="white"/>
        </w:rPr>
        <w:t>Whilst Chartism showed the relevance of political mobilisation, it was not the experience of all the working classes of Britain. Some people were involved more or less depending on their profession, region, gender and economic conditions. Skilled workers who had traditions for association and practical experience were often more able to engage in organised political action than others, who were more spontaneous in reacting to struggles over wages, employment and working conditions. Although women were not included in the Chartists' main demand for universal manhood suffrage, they were active in Chartism.</w:t>
      </w:r>
      <w:r w:rsidR="009746B4">
        <w:rPr>
          <w:rStyle w:val="FootnoteReference"/>
          <w:color w:val="CC0000"/>
          <w:highlight w:val="white"/>
        </w:rPr>
        <w:footnoteReference w:id="7"/>
      </w:r>
      <w:r>
        <w:rPr>
          <w:color w:val="CC0000"/>
          <w:highlight w:val="white"/>
        </w:rPr>
        <w:t xml:space="preserve"> In cases where Chartist petition signatures were kept separately, females accounted for anything from about one in twelve to one in five signatories, beyond those who would actually be enfranchised, political participation was evident. Political mobilisation was also subject to transitions. The most active Chartism occurred in the years of the national petitions of 1839, 1842 and 1848, but it never succeeded in convincing Parliament of the six petitions in the People's Charter. Demands for parliamentary reform </w:t>
      </w:r>
      <w:r>
        <w:rPr>
          <w:color w:val="CC0000"/>
          <w:highlight w:val="white"/>
        </w:rPr>
        <w:lastRenderedPageBreak/>
        <w:t>continued, but in the late 1840s Chartism was no longer the same powerful national force. But workers still were challenging employers regarding pay, work hours, mechanical plant and discipline at work. At times, these conflicts impinged more directly on workers than the campaigns for parliamentary reform. Political actions were thus important but disjointed.</w:t>
      </w:r>
      <w:r w:rsidR="009746B4">
        <w:rPr>
          <w:rStyle w:val="FootnoteReference"/>
          <w:color w:val="CC0000"/>
          <w:highlight w:val="white"/>
        </w:rPr>
        <w:footnoteReference w:id="8"/>
      </w:r>
      <w:r>
        <w:rPr>
          <w:color w:val="CC0000"/>
          <w:highlight w:val="white"/>
        </w:rPr>
        <w:t xml:space="preserve"> This should not be taken to mean that its influence was omnipresent in every working-class reaction to industrialisation, given its overrepresentation in petitions, newspapers and public meetings. Strikes, trade unions and mutual aid also played a large role in working-class solidarity</w:t>
      </w:r>
      <w:r>
        <w:rPr>
          <w:color w:val="CC0000"/>
        </w:rPr>
        <w:t>.</w:t>
      </w:r>
    </w:p>
    <w:p w14:paraId="00000012" w14:textId="77777777" w:rsidR="001C5407" w:rsidRDefault="00000000">
      <w:pPr>
        <w:pStyle w:val="Heading1"/>
      </w:pPr>
      <w:bookmarkStart w:id="17" w:name="_y03z8dg5it9x" w:colFirst="0" w:colLast="0"/>
      <w:bookmarkStart w:id="18" w:name="_Toc240127126"/>
      <w:bookmarkEnd w:id="17"/>
      <w:r>
        <w:t>5. Trade Unionism and Industrial Organisation</w:t>
      </w:r>
      <w:bookmarkEnd w:id="18"/>
    </w:p>
    <w:p w14:paraId="00000013" w14:textId="72AB5F4B" w:rsidR="001C5407" w:rsidRDefault="00000000">
      <w:pPr>
        <w:rPr>
          <w:color w:val="CC0000"/>
        </w:rPr>
      </w:pPr>
      <w:r>
        <w:rPr>
          <w:color w:val="CC0000"/>
          <w:highlight w:val="white"/>
        </w:rPr>
        <w:t>Parliamentary politics gave way to trade unionism as an alternative way for the working class to react to industrialisation. Collective organization of workers around wage labour increased in the course of its expansion, that organized to secure the wage, to resist the growing control of the employer over production, and to ensure the maintenance of their skills and working rights. Among the skilled workers, those whose work could build on traditions of collective organisation were the most significant, notably the trade societies. Such associations tried to stop wage cuts, preserve working practices and boost workers' negotiating power compared to their employers. One of the major ones was the Amalgamated Society of Engineers (ASE), a national society of skilled engineering workers which came into being in 1851. Such national amalgamated unions showed that industrial workers were now placing greater importance on long-term organisation and not just on making temporary protests.</w:t>
      </w:r>
      <w:r w:rsidR="009746B4">
        <w:rPr>
          <w:rStyle w:val="FootnoteReference"/>
          <w:color w:val="CC0000"/>
          <w:highlight w:val="white"/>
        </w:rPr>
        <w:footnoteReference w:id="9"/>
      </w:r>
      <w:r>
        <w:rPr>
          <w:color w:val="CC0000"/>
          <w:highlight w:val="white"/>
        </w:rPr>
        <w:t xml:space="preserve"> The ASE provided assistance for workers involved in employment disputes, but served a more representative function for skilled engineers, partly showing them how industrial organisation could enable workers to have a structured way of protecting their economic standing. Organised engineers continued to be important, also applying themselves to broader campaigns of trade unions on labour rights and political change. Industrial organisation aimed to solve issues which parliament could not be immediately put to rest. They were thinking in terms of changes in political representation as Chartism was doing, while trade unions focused directly on conditions in the workplace.</w:t>
      </w:r>
      <w:r w:rsidR="009746B4">
        <w:rPr>
          <w:rStyle w:val="FootnoteReference"/>
          <w:color w:val="CC0000"/>
          <w:highlight w:val="white"/>
        </w:rPr>
        <w:footnoteReference w:id="10"/>
      </w:r>
      <w:r>
        <w:rPr>
          <w:color w:val="CC0000"/>
          <w:highlight w:val="white"/>
        </w:rPr>
        <w:t xml:space="preserve"> They united, helped workers in disputes and organized collective action when employers tried to cut wages or change accepted ways of </w:t>
      </w:r>
      <w:r>
        <w:rPr>
          <w:color w:val="CC0000"/>
          <w:highlight w:val="white"/>
        </w:rPr>
        <w:lastRenderedPageBreak/>
        <w:t xml:space="preserve">doing things. Thus, the interpretation of political mobilisation as a dominant </w:t>
      </w:r>
      <w:proofErr w:type="gramStart"/>
      <w:r>
        <w:rPr>
          <w:color w:val="CC0000"/>
          <w:highlight w:val="white"/>
        </w:rPr>
        <w:t>working class</w:t>
      </w:r>
      <w:proofErr w:type="gramEnd"/>
      <w:r>
        <w:rPr>
          <w:color w:val="CC0000"/>
          <w:highlight w:val="white"/>
        </w:rPr>
        <w:t xml:space="preserve"> reaction to industrialisation was challenged by trade unionism. In the workplace for many workers, the nature of organisation was a more direct way of protecting their wages, working time, skills and employment security</w:t>
      </w:r>
      <w:r>
        <w:rPr>
          <w:color w:val="CC0000"/>
        </w:rPr>
        <w:t>.</w:t>
      </w:r>
    </w:p>
    <w:p w14:paraId="00000014" w14:textId="77777777" w:rsidR="001C5407" w:rsidRDefault="00000000">
      <w:pPr>
        <w:pStyle w:val="Heading1"/>
      </w:pPr>
      <w:bookmarkStart w:id="19" w:name="_2qa4juanbo52" w:colFirst="0" w:colLast="0"/>
      <w:bookmarkStart w:id="20" w:name="_Toc240127127"/>
      <w:bookmarkEnd w:id="19"/>
      <w:r>
        <w:t>6. Strikes, Wages and Workplace Resistance</w:t>
      </w:r>
      <w:bookmarkEnd w:id="20"/>
    </w:p>
    <w:p w14:paraId="00000015" w14:textId="285A1338" w:rsidR="001C5407" w:rsidRDefault="00000000">
      <w:pPr>
        <w:rPr>
          <w:color w:val="CC0000"/>
        </w:rPr>
      </w:pPr>
      <w:r>
        <w:rPr>
          <w:color w:val="CC0000"/>
          <w:highlight w:val="white"/>
        </w:rPr>
        <w:t xml:space="preserve">Another significant </w:t>
      </w:r>
      <w:proofErr w:type="gramStart"/>
      <w:r>
        <w:rPr>
          <w:color w:val="CC0000"/>
          <w:highlight w:val="white"/>
        </w:rPr>
        <w:t>working class</w:t>
      </w:r>
      <w:proofErr w:type="gramEnd"/>
      <w:r>
        <w:rPr>
          <w:color w:val="CC0000"/>
          <w:highlight w:val="white"/>
        </w:rPr>
        <w:t xml:space="preserve"> reaction to industrialisation was strikes and opposition to the new industrial order at work. Workers formed unions in response to their short-term grievances over wages, hours, Strikes and working-class resistance were another significant answer to industrialisation. This meant that workers were mobilising in the context of issues of wages, hours, job security, work discipline, etc., and that they weren't only waiting for reform through Parliament. When there becomes a reliance on earning regular wages, a change or cut in pay, or in attendance on the job, might create a collective reaction.</w:t>
      </w:r>
      <w:r w:rsidR="009746B4">
        <w:rPr>
          <w:rStyle w:val="FootnoteReference"/>
          <w:color w:val="CC0000"/>
          <w:highlight w:val="white"/>
        </w:rPr>
        <w:footnoteReference w:id="11"/>
      </w:r>
      <w:r>
        <w:rPr>
          <w:color w:val="CC0000"/>
          <w:highlight w:val="white"/>
        </w:rPr>
        <w:t xml:space="preserve"> This was a clear illustration that economic survival was at the heart of working-class organisation. An important illustration of this was furnished by the industrial disturbances experienced in 1842. In manufacturing and mining areas, especially in Lancashire and Staffordshire, workers went out on strike in response to falling wages and resulting unemployment and hardship. Then, as wages were cut down still further, organised workers were resisting. Chartist members were beginning to link wages to their demand for political representation, and this was marked in the parliamentary reports in that day. The disturbances thus revealed the ways in which resistance from the workplace and political mobilisation could intertwine instead of being altogether separate reactions. Mechanisation also created tensions where new methods of producing something were challenging traditional and outdated skills, or the amount of control the workers had over the production process.</w:t>
      </w:r>
      <w:r w:rsidR="009746B4">
        <w:rPr>
          <w:rStyle w:val="FootnoteReference"/>
          <w:color w:val="CC0000"/>
          <w:highlight w:val="white"/>
        </w:rPr>
        <w:footnoteReference w:id="12"/>
      </w:r>
      <w:r>
        <w:rPr>
          <w:color w:val="CC0000"/>
          <w:highlight w:val="white"/>
        </w:rPr>
        <w:t xml:space="preserve"> While not nationally conspicuous like Chartism, they were of greater significance to those who were involved, strikes were often pitched in specific trades, workplaces, or industrial districts. Collective industrial action was used to foster union to demonstrate unity amongst workers regarding sharing of financial risks, organising each other and union action in the face of employers. Strikes thus proved that working-class responses to industrialisation did more than involve parliamentary politics. In many cases, workers resorted to direct action in the workplace </w:t>
      </w:r>
      <w:r>
        <w:rPr>
          <w:color w:val="CC0000"/>
          <w:highlight w:val="white"/>
        </w:rPr>
        <w:lastRenderedPageBreak/>
        <w:t>as a more immediate response to safeguard their wages, employment, skills and control over their working lives</w:t>
      </w:r>
      <w:r>
        <w:rPr>
          <w:color w:val="CC0000"/>
        </w:rPr>
        <w:t>.</w:t>
      </w:r>
    </w:p>
    <w:p w14:paraId="00000016" w14:textId="77777777" w:rsidR="001C5407" w:rsidRDefault="00000000">
      <w:pPr>
        <w:pStyle w:val="Heading1"/>
      </w:pPr>
      <w:bookmarkStart w:id="21" w:name="_wsdna0e83hac" w:colFirst="0" w:colLast="0"/>
      <w:bookmarkStart w:id="22" w:name="_Toc240127128"/>
      <w:bookmarkEnd w:id="21"/>
      <w:r>
        <w:t>7. Cooperative, Mutual and Social Responses</w:t>
      </w:r>
      <w:bookmarkEnd w:id="22"/>
    </w:p>
    <w:p w14:paraId="00000017" w14:textId="0C2ECA89" w:rsidR="001C5407" w:rsidRDefault="00000000">
      <w:pPr>
        <w:rPr>
          <w:color w:val="CC0000"/>
        </w:rPr>
      </w:pPr>
      <w:r>
        <w:rPr>
          <w:color w:val="CC0000"/>
          <w:highlight w:val="white"/>
        </w:rPr>
        <w:t xml:space="preserve">There were also some other forms of collective organization, neither necessarily political nor involving confrontative actions on the job, which were the </w:t>
      </w:r>
      <w:proofErr w:type="gramStart"/>
      <w:r>
        <w:rPr>
          <w:color w:val="CC0000"/>
          <w:highlight w:val="white"/>
        </w:rPr>
        <w:t>working class</w:t>
      </w:r>
      <w:proofErr w:type="gramEnd"/>
      <w:r>
        <w:rPr>
          <w:color w:val="CC0000"/>
          <w:highlight w:val="white"/>
        </w:rPr>
        <w:t xml:space="preserve"> answer to industrialization. The friendly societies intervened in several different circumstances of insecurity, including those linked to sickness, unemployment, injury and death, and were able to alleviate the situation of working families.</w:t>
      </w:r>
      <w:r w:rsidR="009746B4">
        <w:rPr>
          <w:rStyle w:val="FootnoteReference"/>
          <w:color w:val="CC0000"/>
          <w:highlight w:val="white"/>
        </w:rPr>
        <w:footnoteReference w:id="13"/>
      </w:r>
      <w:r>
        <w:rPr>
          <w:color w:val="CC0000"/>
          <w:highlight w:val="white"/>
        </w:rPr>
        <w:t xml:space="preserve"> These were groups that showed that industrial change was often met by industrial workers with mutual support as well as protest. Cooperative organisation was another response that worked. In 1844, the Rochdale Society of Equitable Pioneers was established, an important example of working-class organisations</w:t>
      </w:r>
      <w:r>
        <w:rPr>
          <w:color w:val="CC0000"/>
        </w:rPr>
        <w:t>.</w:t>
      </w:r>
    </w:p>
    <w:p w14:paraId="00000018" w14:textId="77777777" w:rsidR="001C5407" w:rsidRDefault="00000000">
      <w:pPr>
        <w:pStyle w:val="Heading1"/>
      </w:pPr>
      <w:bookmarkStart w:id="23" w:name="_1q46cxh84qpl" w:colFirst="0" w:colLast="0"/>
      <w:bookmarkStart w:id="24" w:name="_Toc240127129"/>
      <w:bookmarkEnd w:id="23"/>
      <w:r>
        <w:t>8. Political and Economic Responses as Interconnected</w:t>
      </w:r>
      <w:bookmarkEnd w:id="24"/>
    </w:p>
    <w:p w14:paraId="00000019" w14:textId="2BFC3455" w:rsidR="001C5407" w:rsidRDefault="00000000">
      <w:pPr>
        <w:rPr>
          <w:color w:val="CC0000"/>
        </w:rPr>
      </w:pPr>
      <w:r>
        <w:rPr>
          <w:color w:val="CC0000"/>
          <w:highlight w:val="white"/>
        </w:rPr>
        <w:t>Through its members, it organized a cooperative store for buying supplies together in a way that encouraged more equitable access and made its members' economies more secure. The Rochdale example showed that workers tried to make a better life for themselves, rather than automatically looking to Parliament or the employers, they sought to do it by their own self-help and collective organisation.</w:t>
      </w:r>
      <w:r w:rsidR="009746B4">
        <w:rPr>
          <w:rStyle w:val="FootnoteReference"/>
          <w:color w:val="CC0000"/>
          <w:highlight w:val="white"/>
        </w:rPr>
        <w:footnoteReference w:id="14"/>
      </w:r>
      <w:r>
        <w:rPr>
          <w:color w:val="CC0000"/>
          <w:highlight w:val="white"/>
        </w:rPr>
        <w:t xml:space="preserve"> Certain industrial communities also established networks in the form of clubs, as well as religious, educational, and other local groups. These institutions became </w:t>
      </w:r>
      <w:proofErr w:type="spellStart"/>
      <w:r>
        <w:rPr>
          <w:color w:val="CC0000"/>
          <w:highlight w:val="white"/>
        </w:rPr>
        <w:t>centers</w:t>
      </w:r>
      <w:proofErr w:type="spellEnd"/>
      <w:r>
        <w:rPr>
          <w:color w:val="CC0000"/>
          <w:highlight w:val="white"/>
        </w:rPr>
        <w:t xml:space="preserve"> of support and social cohesion as the city rapidly grew and people of all walks of life came together and worked there. These friendly societies, cooperatives, and local associations undermined the thesis that political mobilisation was the key working-class response to industrialisation. The organisation of social co-operation was a component of the general working-class attempt to control the economic and social effects of industrial change</w:t>
      </w:r>
      <w:r>
        <w:rPr>
          <w:color w:val="CC0000"/>
        </w:rPr>
        <w:t>.</w:t>
      </w:r>
      <w:r w:rsidR="009746B4">
        <w:rPr>
          <w:rStyle w:val="FootnoteReference"/>
          <w:color w:val="CC0000"/>
        </w:rPr>
        <w:footnoteReference w:id="15"/>
      </w:r>
    </w:p>
    <w:p w14:paraId="0000001A" w14:textId="77777777" w:rsidR="001C5407" w:rsidRDefault="00000000">
      <w:pPr>
        <w:pStyle w:val="Heading1"/>
      </w:pPr>
      <w:bookmarkStart w:id="25" w:name="_2p70yw8wr83r" w:colFirst="0" w:colLast="0"/>
      <w:bookmarkStart w:id="26" w:name="_Toc240127130"/>
      <w:bookmarkEnd w:id="25"/>
      <w:r>
        <w:lastRenderedPageBreak/>
        <w:t>9. Conclusion</w:t>
      </w:r>
      <w:bookmarkEnd w:id="26"/>
    </w:p>
    <w:p w14:paraId="0000001B" w14:textId="7E915326" w:rsidR="001C5407" w:rsidRDefault="00000000">
      <w:pPr>
        <w:rPr>
          <w:b/>
          <w:bCs/>
          <w:sz w:val="28"/>
          <w:szCs w:val="28"/>
        </w:rPr>
      </w:pPr>
      <w:r>
        <w:rPr>
          <w:color w:val="CC0000"/>
          <w:highlight w:val="white"/>
        </w:rPr>
        <w:t>Political mobilisation, especially Chartism, was a significant response to industrialisation on the part of the working classes, connecting economic suffering with political claims. It wasn't the only form of resistance, though. Strike action, wage disputes, friendly societies and cooperative organisations also contributed to workers' resistance to wage and working condition cuts and to economic insecurity.</w:t>
      </w:r>
      <w:r w:rsidR="009746B4">
        <w:rPr>
          <w:rStyle w:val="FootnoteReference"/>
          <w:color w:val="CC0000"/>
          <w:highlight w:val="white"/>
        </w:rPr>
        <w:footnoteReference w:id="16"/>
      </w:r>
      <w:r>
        <w:rPr>
          <w:color w:val="CC0000"/>
          <w:highlight w:val="white"/>
        </w:rPr>
        <w:t xml:space="preserve"> Political and industrial action was often intermingled, both workers' demands for parliamentary reform and workplace organisation were intertwined. As a consequence, political action was highly visible, although it was not everywhere dominant. Industrialisation prompted a more general response from the British working classes, which comprised political, economic and social strategies</w:t>
      </w:r>
      <w:r>
        <w:rPr>
          <w:color w:val="CC0000"/>
        </w:rPr>
        <w:t>.</w:t>
      </w:r>
      <w:r>
        <w:br w:type="page"/>
      </w:r>
    </w:p>
    <w:p w14:paraId="0000001C" w14:textId="77777777" w:rsidR="001C5407" w:rsidRDefault="00000000">
      <w:pPr>
        <w:pStyle w:val="Heading1"/>
        <w:spacing w:before="240" w:after="240"/>
      </w:pPr>
      <w:bookmarkStart w:id="27" w:name="_66lx4yjj6kci" w:colFirst="0" w:colLast="0"/>
      <w:bookmarkStart w:id="28" w:name="_Toc240127131"/>
      <w:bookmarkEnd w:id="27"/>
      <w:r>
        <w:lastRenderedPageBreak/>
        <w:t>Bibliography</w:t>
      </w:r>
      <w:bookmarkEnd w:id="28"/>
      <w:r>
        <w:t xml:space="preserve"> </w:t>
      </w:r>
    </w:p>
    <w:p w14:paraId="72188000" w14:textId="77777777" w:rsidR="009746B4" w:rsidRDefault="009746B4">
      <w:r>
        <w:t>Adereth, Maya. "Legal boundaries, organizational fields, and trade union politics: the development of railway unions in the US and the UK." Social Science History 48, no. 3 (2024): 433-457.</w:t>
      </w:r>
      <w:hyperlink r:id="rId7">
        <w:r>
          <w:rPr>
            <w:color w:val="1155CC"/>
            <w:u w:val="single"/>
          </w:rPr>
          <w:t>https://eprints.lse.ac.uk/125565/1/SSHA-D-23-00052_R4.pdf</w:t>
        </w:r>
      </w:hyperlink>
    </w:p>
    <w:p w14:paraId="30F36215" w14:textId="77777777" w:rsidR="009746B4" w:rsidRDefault="009746B4">
      <w:r>
        <w:t xml:space="preserve">Arlen, Gordon. "Liberal </w:t>
      </w:r>
      <w:proofErr w:type="spellStart"/>
      <w:r>
        <w:t>Plebeianism</w:t>
      </w:r>
      <w:proofErr w:type="spellEnd"/>
      <w:r>
        <w:t>: John Stuart Mill on democracy, oligarchy, and working-class mobilization." American Political Science Review 117, no. 1 (2023): 249-262.</w:t>
      </w:r>
      <w:hyperlink r:id="rId8">
        <w:r>
          <w:rPr>
            <w:color w:val="1155CC"/>
            <w:u w:val="single"/>
          </w:rPr>
          <w:t>https://www.cambridge.org/core/services/aop-cambridge-core/content/view/8C0DFE766FD0D24A381E6110E3711AA3/S0003055422000363a.pdf/liberal_plebeianism_john_stuart_mill_on_democracy_oligarchy_and_workingclass_mobilization.pdf</w:t>
        </w:r>
      </w:hyperlink>
    </w:p>
    <w:p w14:paraId="040690A1" w14:textId="77777777" w:rsidR="009746B4" w:rsidRDefault="009746B4">
      <w:r>
        <w:t>Blair, Kirstie. "Addressing the Machine: Victorian Working-Class Poetry and Industrial Machinery." Journal of Victorian Culture 28, no. 3 (2023): 395-409.</w:t>
      </w:r>
      <w:hyperlink r:id="rId9">
        <w:r>
          <w:rPr>
            <w:color w:val="1155CC"/>
            <w:u w:val="single"/>
          </w:rPr>
          <w:t>https://academic.oup.com/jvc/article-pdf/28/3/395/51769214/vcac064.pdf</w:t>
        </w:r>
      </w:hyperlink>
    </w:p>
    <w:p w14:paraId="0AE73188" w14:textId="77777777" w:rsidR="009746B4" w:rsidRDefault="009746B4">
      <w:proofErr w:type="spellStart"/>
      <w:r>
        <w:t>Collender</w:t>
      </w:r>
      <w:proofErr w:type="spellEnd"/>
      <w:r>
        <w:t>, Guy. "“Hands across the sea”: Strikes, solidarity and diverging outcomes in port cities in Britain and Australia in the late nineteenth century." Coastal Studies &amp; Society 3, no. 2-3 (2024): 85-106.</w:t>
      </w:r>
      <w:hyperlink r:id="rId10">
        <w:r>
          <w:rPr>
            <w:color w:val="1155CC"/>
            <w:u w:val="single"/>
          </w:rPr>
          <w:t>https://journals.sagepub.com/doi/pdf/10.1177/26349817241238275</w:t>
        </w:r>
      </w:hyperlink>
    </w:p>
    <w:p w14:paraId="6263D4FE" w14:textId="77777777" w:rsidR="009746B4" w:rsidRDefault="009746B4">
      <w:proofErr w:type="spellStart"/>
      <w:r>
        <w:t>Gulsunar</w:t>
      </w:r>
      <w:proofErr w:type="spellEnd"/>
      <w:r>
        <w:t>, Emrah. "To block or not: why the British ruling elite enabled the Industrial Revolution during the 18th century." European Review of Economic History 28, no. 3 (2024): 335-359.</w:t>
      </w:r>
      <w:hyperlink r:id="rId11">
        <w:r>
          <w:rPr>
            <w:color w:val="1155CC"/>
            <w:u w:val="single"/>
          </w:rPr>
          <w:t>https://academic.oup.com/ereh/article-pdf/28/3/335/58760600/heae005.pdf</w:t>
        </w:r>
      </w:hyperlink>
    </w:p>
    <w:p w14:paraId="2AEF0305" w14:textId="77777777" w:rsidR="009746B4" w:rsidRDefault="009746B4">
      <w:r>
        <w:t>Gurney, Peter. "Rethinking the Language of Chartism." Journal of British Studies 64 (2025): e121.</w:t>
      </w:r>
      <w:hyperlink r:id="rId12">
        <w:r>
          <w:rPr>
            <w:color w:val="1155CC"/>
            <w:u w:val="single"/>
          </w:rPr>
          <w:t>https://www.cambridge.org/core/services/aop-cambridge-core/content/view/857BB7426C1AAEAE0621823A19A661D2/S0021937125101408a.pdf/rethinking_the_language_of_chartism.pdf</w:t>
        </w:r>
      </w:hyperlink>
    </w:p>
    <w:p w14:paraId="2E539C20" w14:textId="77777777" w:rsidR="009746B4" w:rsidRDefault="009746B4">
      <w:r>
        <w:t xml:space="preserve">Kennerley, David. "‘O! awa </w:t>
      </w:r>
      <w:proofErr w:type="spellStart"/>
      <w:r>
        <w:t>wi</w:t>
      </w:r>
      <w:proofErr w:type="spellEnd"/>
      <w:r>
        <w:t xml:space="preserve"> sic </w:t>
      </w:r>
      <w:proofErr w:type="spellStart"/>
      <w:r>
        <w:t>sangs</w:t>
      </w:r>
      <w:proofErr w:type="spellEnd"/>
      <w:r>
        <w:t xml:space="preserve"> as aft </w:t>
      </w:r>
      <w:proofErr w:type="spellStart"/>
      <w:r>
        <w:t>hae</w:t>
      </w:r>
      <w:proofErr w:type="spellEnd"/>
      <w:r>
        <w:t xml:space="preserve"> been sung’: radical songwriting and the rethinking of Chartism." Social History 49, no. 3 (2024): 316-341.</w:t>
      </w:r>
      <w:hyperlink r:id="rId13">
        <w:r>
          <w:rPr>
            <w:color w:val="1155CC"/>
            <w:u w:val="single"/>
          </w:rPr>
          <w:t>https://ora.ox.ac.uk/objects/uuid:4bcfc10b-2544-4159-b871-bc776df90a90/files/rg732dc825</w:t>
        </w:r>
      </w:hyperlink>
    </w:p>
    <w:p w14:paraId="58995223" w14:textId="77777777" w:rsidR="009746B4" w:rsidRDefault="009746B4">
      <w:r>
        <w:t xml:space="preserve">O’Brien, Patrick. "Was the British industrial revolution a conjuncture in global economic </w:t>
      </w:r>
      <w:proofErr w:type="gramStart"/>
      <w:r>
        <w:t>history?.</w:t>
      </w:r>
      <w:proofErr w:type="gramEnd"/>
      <w:r>
        <w:t>" Journal of Global History 17, no. 1 (2022): 128-150.</w:t>
      </w:r>
      <w:hyperlink r:id="rId14">
        <w:r>
          <w:rPr>
            <w:color w:val="1155CC"/>
            <w:u w:val="single"/>
          </w:rPr>
          <w:t>https://scholar.archive.org/work/td5r3j5gfvh2jfqpcqvlmricf4/access/wayback/https://www.cambridge.org/core/services/aop-cambridge-core/content/view/E3CA17D3F7331A6E36302CC6E2B93C22/S1740022821000127a.pdf/div-</w:t>
        </w:r>
        <w:r>
          <w:rPr>
            <w:color w:val="1155CC"/>
            <w:u w:val="single"/>
          </w:rPr>
          <w:lastRenderedPageBreak/>
          <w:t>class-title-was-the-british-industrial-revolution-a-conjuncture-in-global-economic-history-div.pdf</w:t>
        </w:r>
      </w:hyperlink>
    </w:p>
    <w:p w14:paraId="0CF0F2BE" w14:textId="77777777" w:rsidR="009746B4" w:rsidRDefault="009746B4">
      <w:r>
        <w:t>Roberts, Matthew. "Democratic passions: the politics of feeling in British popular radicalism, 1809-1848." (2022): 1-272.</w:t>
      </w:r>
      <w:hyperlink r:id="rId15">
        <w:r>
          <w:rPr>
            <w:color w:val="1155CC"/>
            <w:u w:val="single"/>
          </w:rPr>
          <w:t>https://www.torrossa.com/en/resources/an/5310353</w:t>
        </w:r>
      </w:hyperlink>
    </w:p>
    <w:p w14:paraId="129D1754" w14:textId="77777777" w:rsidR="009746B4" w:rsidRDefault="009746B4">
      <w:r>
        <w:t>Scriven, Tom. "Slavery and abolition in Chartist thought and culture, 1838–1850." The Historical Journal 65, no. 5 (2022): 1262-1284.</w:t>
      </w:r>
      <w:hyperlink r:id="rId16">
        <w:r>
          <w:rPr>
            <w:color w:val="1155CC"/>
            <w:u w:val="single"/>
          </w:rPr>
          <w:t>https://www.cambridge.org/core/services/aop-cambridge-core/content/view/1AC157BC8707BDA9E48301466F55D583/S0018246X21000819a.pdf/slavery_and_abolition_in_chartist_thought_and_culture_18381850.pdf</w:t>
        </w:r>
      </w:hyperlink>
    </w:p>
    <w:p w14:paraId="2F949CC0" w14:textId="77777777" w:rsidR="009746B4" w:rsidRDefault="009746B4">
      <w:r>
        <w:t xml:space="preserve">Taylor, Antony. "The Trade Union Movement, 1850-1914." Revue Française de Civilisation </w:t>
      </w:r>
      <w:proofErr w:type="spellStart"/>
      <w:r>
        <w:t>Britannique</w:t>
      </w:r>
      <w:proofErr w:type="spellEnd"/>
      <w:r>
        <w:t>. French Journal of British Studies XXX-1 (2025).</w:t>
      </w:r>
      <w:hyperlink r:id="rId17">
        <w:r>
          <w:rPr>
            <w:color w:val="1155CC"/>
            <w:u w:val="single"/>
          </w:rPr>
          <w:t>https://journals.openedition.org/</w:t>
        </w:r>
        <w:proofErr w:type="spellStart"/>
        <w:r>
          <w:rPr>
            <w:color w:val="1155CC"/>
            <w:u w:val="single"/>
          </w:rPr>
          <w:t>rfcb</w:t>
        </w:r>
        <w:proofErr w:type="spellEnd"/>
        <w:r>
          <w:rPr>
            <w:color w:val="1155CC"/>
            <w:u w:val="single"/>
          </w:rPr>
          <w:t>/pdf/13252</w:t>
        </w:r>
      </w:hyperlink>
    </w:p>
    <w:p w14:paraId="734E442B" w14:textId="77777777" w:rsidR="009746B4" w:rsidRDefault="009746B4">
      <w:r>
        <w:t>Tiratelli, Matteo. "The working week in the long nineteenth century: evidence from the timings of political events in Britain." Social Science History 46, no. 2 (2022): 291-313.</w:t>
      </w:r>
      <w:hyperlink r:id="rId18">
        <w:r>
          <w:rPr>
            <w:color w:val="1155CC"/>
            <w:u w:val="single"/>
          </w:rPr>
          <w:t>https://www.cambridge.org/core/services/aop-cambridge-core/content/view/BA40237018708727EFEE5B4FB8CB47AC/S0145553221000511a.pdf/div-class-title-the-working-week-in-the-long-nineteenth-century-evidence-from-the-timings-of-political-events-in-britain-div.pdf</w:t>
        </w:r>
      </w:hyperlink>
    </w:p>
    <w:p w14:paraId="00000030" w14:textId="77777777" w:rsidR="001C5407" w:rsidRDefault="001C5407"/>
    <w:p w14:paraId="00000031" w14:textId="77777777" w:rsidR="001C5407" w:rsidRDefault="001C5407"/>
    <w:sectPr w:rsidR="001C5407">
      <w:headerReference w:type="default" r:id="rId19"/>
      <w:footerReference w:type="defaul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B0FDB" w14:textId="77777777" w:rsidR="002100E2" w:rsidRDefault="002100E2">
      <w:pPr>
        <w:spacing w:line="240" w:lineRule="auto"/>
      </w:pPr>
      <w:r>
        <w:separator/>
      </w:r>
    </w:p>
  </w:endnote>
  <w:endnote w:type="continuationSeparator" w:id="0">
    <w:p w14:paraId="02234D76" w14:textId="77777777" w:rsidR="002100E2" w:rsidRDefault="002100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90D2DA-6654-4331-B98D-50179BB4D9D8}"/>
  </w:font>
  <w:font w:name="Cambria">
    <w:panose1 w:val="02040503050406030204"/>
    <w:charset w:val="00"/>
    <w:family w:val="roman"/>
    <w:pitch w:val="variable"/>
    <w:sig w:usb0="E00006FF" w:usb1="420024FF" w:usb2="02000000" w:usb3="00000000" w:csb0="0000019F" w:csb1="00000000"/>
    <w:embedRegular r:id="rId2" w:fontKey="{1A249804-EF33-455D-8E78-B35D263574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469706"/>
      <w:docPartObj>
        <w:docPartGallery w:val="Page Numbers (Bottom of Page)"/>
        <w:docPartUnique/>
      </w:docPartObj>
    </w:sdtPr>
    <w:sdtEndPr>
      <w:rPr>
        <w:noProof/>
      </w:rPr>
    </w:sdtEndPr>
    <w:sdtContent>
      <w:p w14:paraId="72316BD9" w14:textId="32C04605" w:rsidR="00CF0FF4" w:rsidRDefault="00CF0F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73F87F" w14:textId="77777777" w:rsidR="00CF0FF4" w:rsidRDefault="00CF0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CC2E3" w14:textId="77777777" w:rsidR="002100E2" w:rsidRDefault="002100E2">
      <w:pPr>
        <w:spacing w:line="240" w:lineRule="auto"/>
      </w:pPr>
      <w:r>
        <w:separator/>
      </w:r>
    </w:p>
  </w:footnote>
  <w:footnote w:type="continuationSeparator" w:id="0">
    <w:p w14:paraId="7C445092" w14:textId="77777777" w:rsidR="002100E2" w:rsidRDefault="002100E2">
      <w:pPr>
        <w:spacing w:line="240" w:lineRule="auto"/>
      </w:pPr>
      <w:r>
        <w:continuationSeparator/>
      </w:r>
    </w:p>
  </w:footnote>
  <w:footnote w:id="1">
    <w:p w14:paraId="1F02284B" w14:textId="463F4F18" w:rsidR="009746B4" w:rsidRPr="009746B4" w:rsidRDefault="009746B4">
      <w:pPr>
        <w:pStyle w:val="FootnoteText"/>
        <w:rPr>
          <w:lang w:val="en-US"/>
        </w:rPr>
      </w:pPr>
      <w:r>
        <w:rPr>
          <w:rStyle w:val="FootnoteReference"/>
        </w:rPr>
        <w:footnoteRef/>
      </w:r>
      <w:r>
        <w:t xml:space="preserve"> </w:t>
      </w:r>
      <w:r w:rsidRPr="009746B4">
        <w:t>Adereth, “Legal Boundaries,” 433–457.</w:t>
      </w:r>
    </w:p>
  </w:footnote>
  <w:footnote w:id="2">
    <w:p w14:paraId="65DB3BDA" w14:textId="5F7D9B76" w:rsidR="009746B4" w:rsidRPr="009746B4" w:rsidRDefault="009746B4">
      <w:pPr>
        <w:pStyle w:val="FootnoteText"/>
        <w:rPr>
          <w:lang w:val="en-US"/>
        </w:rPr>
      </w:pPr>
      <w:r>
        <w:rPr>
          <w:rStyle w:val="FootnoteReference"/>
        </w:rPr>
        <w:footnoteRef/>
      </w:r>
      <w:r>
        <w:t xml:space="preserve"> </w:t>
      </w:r>
      <w:r w:rsidRPr="009746B4">
        <w:t xml:space="preserve">Arlen, “Liberal </w:t>
      </w:r>
      <w:proofErr w:type="spellStart"/>
      <w:r w:rsidRPr="009746B4">
        <w:t>Plebeianism</w:t>
      </w:r>
      <w:proofErr w:type="spellEnd"/>
      <w:r w:rsidRPr="009746B4">
        <w:t>,” 249–262.</w:t>
      </w:r>
    </w:p>
  </w:footnote>
  <w:footnote w:id="3">
    <w:p w14:paraId="17D85144" w14:textId="24A8540F" w:rsidR="009746B4" w:rsidRPr="009746B4" w:rsidRDefault="009746B4" w:rsidP="009746B4">
      <w:pPr>
        <w:pStyle w:val="FootnoteText"/>
        <w:rPr>
          <w:lang w:val="en-IN"/>
        </w:rPr>
      </w:pPr>
      <w:r>
        <w:rPr>
          <w:rStyle w:val="FootnoteReference"/>
        </w:rPr>
        <w:footnoteRef/>
      </w:r>
      <w:r>
        <w:t xml:space="preserve"> </w:t>
      </w:r>
      <w:r w:rsidRPr="009746B4">
        <w:rPr>
          <w:lang w:val="en-IN"/>
        </w:rPr>
        <w:t xml:space="preserve">Blair, “Addressing the Machine,” 395–409. </w:t>
      </w:r>
    </w:p>
  </w:footnote>
  <w:footnote w:id="4">
    <w:p w14:paraId="61F4910D" w14:textId="685A752A" w:rsidR="009746B4" w:rsidRPr="009746B4" w:rsidRDefault="009746B4">
      <w:pPr>
        <w:pStyle w:val="FootnoteText"/>
        <w:rPr>
          <w:lang w:val="en-US"/>
        </w:rPr>
      </w:pPr>
      <w:r>
        <w:rPr>
          <w:rStyle w:val="FootnoteReference"/>
        </w:rPr>
        <w:footnoteRef/>
      </w:r>
      <w:r>
        <w:t xml:space="preserve"> </w:t>
      </w:r>
      <w:proofErr w:type="spellStart"/>
      <w:r w:rsidRPr="009746B4">
        <w:t>Collender</w:t>
      </w:r>
      <w:proofErr w:type="spellEnd"/>
      <w:r w:rsidRPr="009746B4">
        <w:t>, “Hands across the Sea,” 85–106.</w:t>
      </w:r>
    </w:p>
  </w:footnote>
  <w:footnote w:id="5">
    <w:p w14:paraId="4E6D2DDB" w14:textId="37375DA8" w:rsidR="009746B4" w:rsidRPr="009746B4" w:rsidRDefault="009746B4">
      <w:pPr>
        <w:pStyle w:val="FootnoteText"/>
        <w:rPr>
          <w:lang w:val="en-US"/>
        </w:rPr>
      </w:pPr>
      <w:r>
        <w:rPr>
          <w:rStyle w:val="FootnoteReference"/>
        </w:rPr>
        <w:footnoteRef/>
      </w:r>
      <w:r>
        <w:t xml:space="preserve"> </w:t>
      </w:r>
      <w:r w:rsidRPr="009746B4">
        <w:t>Kennerley, “Radical Songwriting and the Rethinking of Chartism,” 316–341.</w:t>
      </w:r>
    </w:p>
  </w:footnote>
  <w:footnote w:id="6">
    <w:p w14:paraId="6AEE4EEC" w14:textId="1E36A508" w:rsidR="009746B4" w:rsidRPr="009746B4" w:rsidRDefault="009746B4">
      <w:pPr>
        <w:pStyle w:val="FootnoteText"/>
        <w:rPr>
          <w:lang w:val="en-US"/>
        </w:rPr>
      </w:pPr>
      <w:r>
        <w:rPr>
          <w:rStyle w:val="FootnoteReference"/>
        </w:rPr>
        <w:footnoteRef/>
      </w:r>
      <w:r>
        <w:t xml:space="preserve"> </w:t>
      </w:r>
      <w:r w:rsidRPr="009746B4">
        <w:t>Gurney, “Rethinking the Language of Chartism,” e121.</w:t>
      </w:r>
    </w:p>
  </w:footnote>
  <w:footnote w:id="7">
    <w:p w14:paraId="7B4A79AF" w14:textId="49756789" w:rsidR="009746B4" w:rsidRPr="009746B4" w:rsidRDefault="009746B4">
      <w:pPr>
        <w:pStyle w:val="FootnoteText"/>
        <w:rPr>
          <w:lang w:val="en-US"/>
        </w:rPr>
      </w:pPr>
      <w:r>
        <w:rPr>
          <w:rStyle w:val="FootnoteReference"/>
        </w:rPr>
        <w:footnoteRef/>
      </w:r>
      <w:r>
        <w:t xml:space="preserve"> </w:t>
      </w:r>
      <w:r w:rsidRPr="009746B4">
        <w:t>O’Brien, “British Industrial Revolution,” 128–150.</w:t>
      </w:r>
    </w:p>
  </w:footnote>
  <w:footnote w:id="8">
    <w:p w14:paraId="7A5E16A0" w14:textId="42732DED" w:rsidR="009746B4" w:rsidRPr="009746B4" w:rsidRDefault="009746B4">
      <w:pPr>
        <w:pStyle w:val="FootnoteText"/>
        <w:rPr>
          <w:lang w:val="en-US"/>
        </w:rPr>
      </w:pPr>
      <w:r>
        <w:rPr>
          <w:rStyle w:val="FootnoteReference"/>
        </w:rPr>
        <w:footnoteRef/>
      </w:r>
      <w:r>
        <w:t xml:space="preserve"> </w:t>
      </w:r>
      <w:r w:rsidRPr="009746B4">
        <w:t>Scriven, “Slavery and Abolition in Chartist Thought,” 1262–1284.</w:t>
      </w:r>
    </w:p>
  </w:footnote>
  <w:footnote w:id="9">
    <w:p w14:paraId="769A63C9" w14:textId="4FD67DF7" w:rsidR="009746B4" w:rsidRPr="009746B4" w:rsidRDefault="009746B4">
      <w:pPr>
        <w:pStyle w:val="FootnoteText"/>
        <w:rPr>
          <w:lang w:val="en-US"/>
        </w:rPr>
      </w:pPr>
      <w:r>
        <w:rPr>
          <w:rStyle w:val="FootnoteReference"/>
        </w:rPr>
        <w:footnoteRef/>
      </w:r>
      <w:r>
        <w:t xml:space="preserve"> </w:t>
      </w:r>
      <w:r w:rsidRPr="009746B4">
        <w:t>Taylor, “Trade Union Movement, 1850–1914.</w:t>
      </w:r>
      <w:r>
        <w:t>”</w:t>
      </w:r>
    </w:p>
  </w:footnote>
  <w:footnote w:id="10">
    <w:p w14:paraId="3373B609" w14:textId="4E828BF2" w:rsidR="009746B4" w:rsidRPr="009746B4" w:rsidRDefault="009746B4">
      <w:pPr>
        <w:pStyle w:val="FootnoteText"/>
        <w:rPr>
          <w:lang w:val="en-US"/>
        </w:rPr>
      </w:pPr>
      <w:r>
        <w:rPr>
          <w:rStyle w:val="FootnoteReference"/>
        </w:rPr>
        <w:footnoteRef/>
      </w:r>
      <w:r>
        <w:t xml:space="preserve"> </w:t>
      </w:r>
      <w:r w:rsidRPr="009746B4">
        <w:t xml:space="preserve">Roberts, </w:t>
      </w:r>
      <w:r w:rsidRPr="009746B4">
        <w:rPr>
          <w:i/>
          <w:iCs/>
        </w:rPr>
        <w:t>Democratic Passions</w:t>
      </w:r>
      <w:r w:rsidRPr="009746B4">
        <w:t>, 1–272.</w:t>
      </w:r>
    </w:p>
  </w:footnote>
  <w:footnote w:id="11">
    <w:p w14:paraId="2BC6FC90" w14:textId="76E99E1D" w:rsidR="009746B4" w:rsidRPr="009746B4" w:rsidRDefault="009746B4">
      <w:pPr>
        <w:pStyle w:val="FootnoteText"/>
        <w:rPr>
          <w:lang w:val="en-US"/>
        </w:rPr>
      </w:pPr>
      <w:r>
        <w:rPr>
          <w:rStyle w:val="FootnoteReference"/>
        </w:rPr>
        <w:footnoteRef/>
      </w:r>
      <w:r>
        <w:t xml:space="preserve"> </w:t>
      </w:r>
      <w:proofErr w:type="spellStart"/>
      <w:r w:rsidRPr="009746B4">
        <w:t>Collender</w:t>
      </w:r>
      <w:proofErr w:type="spellEnd"/>
      <w:r w:rsidRPr="009746B4">
        <w:t>, “Hands across the Sea,” 85–106.</w:t>
      </w:r>
    </w:p>
  </w:footnote>
  <w:footnote w:id="12">
    <w:p w14:paraId="22A00C02" w14:textId="3E5C8FEB" w:rsidR="009746B4" w:rsidRPr="009746B4" w:rsidRDefault="009746B4">
      <w:pPr>
        <w:pStyle w:val="FootnoteText"/>
        <w:rPr>
          <w:lang w:val="en-US"/>
        </w:rPr>
      </w:pPr>
      <w:r>
        <w:rPr>
          <w:rStyle w:val="FootnoteReference"/>
        </w:rPr>
        <w:footnoteRef/>
      </w:r>
      <w:r>
        <w:t xml:space="preserve"> </w:t>
      </w:r>
      <w:proofErr w:type="spellStart"/>
      <w:r w:rsidRPr="009746B4">
        <w:t>Gulsunar</w:t>
      </w:r>
      <w:proofErr w:type="spellEnd"/>
      <w:r w:rsidRPr="009746B4">
        <w:t>, “To Block or Not,” 335–359.</w:t>
      </w:r>
    </w:p>
  </w:footnote>
  <w:footnote w:id="13">
    <w:p w14:paraId="7A1C9766" w14:textId="25E486C3" w:rsidR="009746B4" w:rsidRPr="009746B4" w:rsidRDefault="009746B4">
      <w:pPr>
        <w:pStyle w:val="FootnoteText"/>
        <w:rPr>
          <w:lang w:val="en-US"/>
        </w:rPr>
      </w:pPr>
      <w:r>
        <w:rPr>
          <w:rStyle w:val="FootnoteReference"/>
        </w:rPr>
        <w:footnoteRef/>
      </w:r>
      <w:r>
        <w:t xml:space="preserve"> </w:t>
      </w:r>
      <w:r w:rsidRPr="009746B4">
        <w:t>Scriven, “Slavery and Abolition in Chartist Thought,” 1262–1284.</w:t>
      </w:r>
    </w:p>
  </w:footnote>
  <w:footnote w:id="14">
    <w:p w14:paraId="79E8E213" w14:textId="35EDA9B0" w:rsidR="009746B4" w:rsidRPr="009746B4" w:rsidRDefault="009746B4">
      <w:pPr>
        <w:pStyle w:val="FootnoteText"/>
        <w:rPr>
          <w:lang w:val="en-US"/>
        </w:rPr>
      </w:pPr>
      <w:r>
        <w:rPr>
          <w:rStyle w:val="FootnoteReference"/>
        </w:rPr>
        <w:footnoteRef/>
      </w:r>
      <w:r>
        <w:t xml:space="preserve"> </w:t>
      </w:r>
      <w:r w:rsidRPr="009746B4">
        <w:t>Tiratelli, “Working Week in the Long Nineteenth Century,” 291–313.</w:t>
      </w:r>
    </w:p>
  </w:footnote>
  <w:footnote w:id="15">
    <w:p w14:paraId="05705E53" w14:textId="2A0086A5" w:rsidR="009746B4" w:rsidRPr="009746B4" w:rsidRDefault="009746B4">
      <w:pPr>
        <w:pStyle w:val="FootnoteText"/>
        <w:rPr>
          <w:lang w:val="en-US"/>
        </w:rPr>
      </w:pPr>
      <w:r>
        <w:rPr>
          <w:rStyle w:val="FootnoteReference"/>
        </w:rPr>
        <w:footnoteRef/>
      </w:r>
      <w:r>
        <w:t xml:space="preserve"> </w:t>
      </w:r>
      <w:r w:rsidRPr="009746B4">
        <w:t xml:space="preserve">Roberts, </w:t>
      </w:r>
      <w:r w:rsidRPr="009746B4">
        <w:rPr>
          <w:i/>
          <w:iCs/>
        </w:rPr>
        <w:t>Democratic Passions</w:t>
      </w:r>
      <w:r w:rsidRPr="009746B4">
        <w:t>, 1–272.</w:t>
      </w:r>
    </w:p>
  </w:footnote>
  <w:footnote w:id="16">
    <w:p w14:paraId="282FCB72" w14:textId="589F63AA" w:rsidR="009746B4" w:rsidRPr="009746B4" w:rsidRDefault="009746B4">
      <w:pPr>
        <w:pStyle w:val="FootnoteText"/>
        <w:rPr>
          <w:lang w:val="en-US"/>
        </w:rPr>
      </w:pPr>
      <w:r>
        <w:rPr>
          <w:rStyle w:val="FootnoteReference"/>
        </w:rPr>
        <w:footnoteRef/>
      </w:r>
      <w:r>
        <w:t xml:space="preserve"> </w:t>
      </w:r>
      <w:r w:rsidRPr="009746B4">
        <w:t>Kennerley, “Radical Songwriting and the Rethinking of Chartism,” 316–341.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2" w14:textId="44CB965B" w:rsidR="001C5407" w:rsidRDefault="001C5407">
    <w:pPr>
      <w:pBdr>
        <w:top w:val="nil"/>
        <w:left w:val="nil"/>
        <w:bottom w:val="nil"/>
        <w:right w:val="nil"/>
        <w:between w:val="nil"/>
      </w:pBdr>
      <w:tabs>
        <w:tab w:val="center" w:pos="4680"/>
        <w:tab w:val="right" w:pos="9360"/>
      </w:tabs>
      <w:spacing w:line="240" w:lineRule="auto"/>
      <w:jc w:val="right"/>
      <w:rPr>
        <w:color w:val="000000"/>
      </w:rPr>
    </w:pPr>
  </w:p>
  <w:p w14:paraId="00000033" w14:textId="77777777" w:rsidR="001C5407" w:rsidRDefault="001C5407">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407"/>
    <w:rsid w:val="001C5407"/>
    <w:rsid w:val="002100E2"/>
    <w:rsid w:val="00265717"/>
    <w:rsid w:val="00936A00"/>
    <w:rsid w:val="009746B4"/>
    <w:rsid w:val="00CF0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85359"/>
  <w15:docId w15:val="{84253B52-05AC-4502-95F6-1073DC27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28"/>
      <w:szCs w:val="28"/>
    </w:rPr>
  </w:style>
  <w:style w:type="paragraph" w:styleId="Heading2">
    <w:name w:val="heading 2"/>
    <w:basedOn w:val="Normal"/>
    <w:next w:val="Normal"/>
    <w:uiPriority w:val="9"/>
    <w:semiHidden/>
    <w:unhideWhenUsed/>
    <w:qFormat/>
    <w:pPr>
      <w:keepNext/>
      <w:keepLines/>
      <w:spacing w:before="360" w:after="120"/>
      <w:outlineLvl w:val="1"/>
    </w:pPr>
    <w:rPr>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FootnoteText">
    <w:name w:val="footnote text"/>
    <w:basedOn w:val="Normal"/>
    <w:link w:val="FootnoteTextChar"/>
    <w:uiPriority w:val="99"/>
    <w:semiHidden/>
    <w:unhideWhenUsed/>
    <w:rsid w:val="009746B4"/>
    <w:pPr>
      <w:spacing w:line="240" w:lineRule="auto"/>
    </w:pPr>
    <w:rPr>
      <w:sz w:val="20"/>
      <w:szCs w:val="20"/>
    </w:rPr>
  </w:style>
  <w:style w:type="character" w:customStyle="1" w:styleId="FootnoteTextChar">
    <w:name w:val="Footnote Text Char"/>
    <w:basedOn w:val="DefaultParagraphFont"/>
    <w:link w:val="FootnoteText"/>
    <w:uiPriority w:val="99"/>
    <w:semiHidden/>
    <w:rsid w:val="009746B4"/>
    <w:rPr>
      <w:sz w:val="20"/>
      <w:szCs w:val="20"/>
    </w:rPr>
  </w:style>
  <w:style w:type="character" w:styleId="FootnoteReference">
    <w:name w:val="footnote reference"/>
    <w:basedOn w:val="DefaultParagraphFont"/>
    <w:uiPriority w:val="99"/>
    <w:semiHidden/>
    <w:unhideWhenUsed/>
    <w:rsid w:val="009746B4"/>
    <w:rPr>
      <w:vertAlign w:val="superscript"/>
    </w:rPr>
  </w:style>
  <w:style w:type="paragraph" w:styleId="Header">
    <w:name w:val="header"/>
    <w:basedOn w:val="Normal"/>
    <w:link w:val="HeaderChar"/>
    <w:uiPriority w:val="99"/>
    <w:unhideWhenUsed/>
    <w:rsid w:val="00CF0FF4"/>
    <w:pPr>
      <w:tabs>
        <w:tab w:val="center" w:pos="4513"/>
        <w:tab w:val="right" w:pos="9026"/>
      </w:tabs>
      <w:spacing w:line="240" w:lineRule="auto"/>
    </w:pPr>
  </w:style>
  <w:style w:type="character" w:customStyle="1" w:styleId="HeaderChar">
    <w:name w:val="Header Char"/>
    <w:basedOn w:val="DefaultParagraphFont"/>
    <w:link w:val="Header"/>
    <w:uiPriority w:val="99"/>
    <w:rsid w:val="00CF0FF4"/>
  </w:style>
  <w:style w:type="paragraph" w:styleId="Footer">
    <w:name w:val="footer"/>
    <w:basedOn w:val="Normal"/>
    <w:link w:val="FooterChar"/>
    <w:uiPriority w:val="99"/>
    <w:unhideWhenUsed/>
    <w:rsid w:val="00CF0FF4"/>
    <w:pPr>
      <w:tabs>
        <w:tab w:val="center" w:pos="4513"/>
        <w:tab w:val="right" w:pos="9026"/>
      </w:tabs>
      <w:spacing w:line="240" w:lineRule="auto"/>
    </w:pPr>
  </w:style>
  <w:style w:type="character" w:customStyle="1" w:styleId="FooterChar">
    <w:name w:val="Footer Char"/>
    <w:basedOn w:val="DefaultParagraphFont"/>
    <w:link w:val="Footer"/>
    <w:uiPriority w:val="99"/>
    <w:rsid w:val="00CF0FF4"/>
  </w:style>
  <w:style w:type="paragraph" w:styleId="TOCHeading">
    <w:name w:val="TOC Heading"/>
    <w:basedOn w:val="Heading1"/>
    <w:next w:val="Normal"/>
    <w:uiPriority w:val="39"/>
    <w:unhideWhenUsed/>
    <w:qFormat/>
    <w:rsid w:val="00CF0FF4"/>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CF0FF4"/>
    <w:pPr>
      <w:spacing w:after="100"/>
    </w:pPr>
  </w:style>
  <w:style w:type="character" w:styleId="Hyperlink">
    <w:name w:val="Hyperlink"/>
    <w:basedOn w:val="DefaultParagraphFont"/>
    <w:uiPriority w:val="99"/>
    <w:unhideWhenUsed/>
    <w:rsid w:val="00CF0F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ambridge.org/core/services/aop-cambridge-core/content/view/8C0DFE766FD0D24A381E6110E3711AA3/S0003055422000363a.pdf/liberal_plebeianism_john_stuart_mill_on_democracy_oligarchy_and_workingclass_mobilization.pdf" TargetMode="External"/><Relationship Id="rId13" Type="http://schemas.openxmlformats.org/officeDocument/2006/relationships/hyperlink" Target="https://ora.ox.ac.uk/objects/uuid:4bcfc10b-2544-4159-b871-bc776df90a90/files/rg732dc825" TargetMode="External"/><Relationship Id="rId18" Type="http://schemas.openxmlformats.org/officeDocument/2006/relationships/hyperlink" Target="https://www.cambridge.org/core/services/aop-cambridge-core/content/view/BA40237018708727EFEE5B4FB8CB47AC/S0145553221000511a.pdf/div-class-title-the-working-week-in-the-long-nineteenth-century-evidence-from-the-timings-of-political-events-in-britain-div.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prints.lse.ac.uk/125565/1/SSHA-D-23-00052_R4.pdf" TargetMode="External"/><Relationship Id="rId12" Type="http://schemas.openxmlformats.org/officeDocument/2006/relationships/hyperlink" Target="https://www.cambridge.org/core/services/aop-cambridge-core/content/view/857BB7426C1AAEAE0621823A19A661D2/S0021937125101408a.pdf/rethinking_the_language_of_chartism.pdf" TargetMode="External"/><Relationship Id="rId17" Type="http://schemas.openxmlformats.org/officeDocument/2006/relationships/hyperlink" Target="https://journals.openedition.org/rfcb/pdf/13252" TargetMode="External"/><Relationship Id="rId2" Type="http://schemas.openxmlformats.org/officeDocument/2006/relationships/styles" Target="styles.xml"/><Relationship Id="rId16" Type="http://schemas.openxmlformats.org/officeDocument/2006/relationships/hyperlink" Target="https://www.cambridge.org/core/services/aop-cambridge-core/content/view/1AC157BC8707BDA9E48301466F55D583/S0018246X21000819a.pdf/slavery_and_abolition_in_chartist_thought_and_culture_18381850.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academic.oup.com/ereh/article-pdf/28/3/335/58760600/heae005.pdf" TargetMode="External"/><Relationship Id="rId5" Type="http://schemas.openxmlformats.org/officeDocument/2006/relationships/footnotes" Target="footnotes.xml"/><Relationship Id="rId15" Type="http://schemas.openxmlformats.org/officeDocument/2006/relationships/hyperlink" Target="https://www.torrossa.com/en/resources/an/5310353" TargetMode="External"/><Relationship Id="rId10" Type="http://schemas.openxmlformats.org/officeDocument/2006/relationships/hyperlink" Target="https://journals.sagepub.com/doi/pdf/10.1177/26349817241238275"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cademic.oup.com/jvc/article-pdf/28/3/395/51769214/vcac064.pdf" TargetMode="External"/><Relationship Id="rId14" Type="http://schemas.openxmlformats.org/officeDocument/2006/relationships/hyperlink" Target="https://scholar.archive.org/work/td5r3j5gfvh2jfqpcqvlmricf4/access/wayback/https://www.cambridge.org/core/services/aop-cambridge-core/content/view/E3CA17D3F7331A6E36302CC6E2B93C22/S1740022821000127a.pdf/div-class-title-was-the-british-industrial-revolution-a-conjuncture-in-global-economic-history-div.pdf"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FD92A-4F7E-4205-BAE8-3B62F15A1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3259</Words>
  <Characters>18580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DHEERAJ KUMAR JHA</dc:creator>
  <cp:lastModifiedBy>Rahul Jha</cp:lastModifiedBy>
  <cp:revision>2</cp:revision>
  <dcterms:created xsi:type="dcterms:W3CDTF">2026-09-12T12:10:00Z</dcterms:created>
  <dcterms:modified xsi:type="dcterms:W3CDTF">2026-09-12T12:10:00Z</dcterms:modified>
</cp:coreProperties>
</file>