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1B23" w14:textId="77777777" w:rsidR="00E70D6D" w:rsidRDefault="00E70D6D" w:rsidP="003B0A18">
      <w:pPr>
        <w:jc w:val="center"/>
        <w:rPr>
          <w:b/>
          <w:bCs/>
          <w:sz w:val="32"/>
          <w:szCs w:val="28"/>
        </w:rPr>
      </w:pPr>
    </w:p>
    <w:p w14:paraId="7B61EA38" w14:textId="77777777" w:rsidR="00E70D6D" w:rsidRDefault="00E70D6D" w:rsidP="003B0A18">
      <w:pPr>
        <w:jc w:val="center"/>
        <w:rPr>
          <w:b/>
          <w:bCs/>
          <w:sz w:val="32"/>
          <w:szCs w:val="28"/>
        </w:rPr>
      </w:pPr>
    </w:p>
    <w:p w14:paraId="5EFA33AD" w14:textId="77777777" w:rsidR="00E70D6D" w:rsidRDefault="00E70D6D" w:rsidP="003B0A18">
      <w:pPr>
        <w:jc w:val="center"/>
        <w:rPr>
          <w:b/>
          <w:bCs/>
          <w:sz w:val="32"/>
          <w:szCs w:val="28"/>
        </w:rPr>
      </w:pPr>
    </w:p>
    <w:p w14:paraId="126F16F4" w14:textId="77777777" w:rsidR="00E70D6D" w:rsidRDefault="00E70D6D" w:rsidP="003B0A18">
      <w:pPr>
        <w:jc w:val="center"/>
        <w:rPr>
          <w:b/>
          <w:bCs/>
          <w:sz w:val="32"/>
          <w:szCs w:val="28"/>
        </w:rPr>
      </w:pPr>
    </w:p>
    <w:p w14:paraId="3650DEDC" w14:textId="77777777" w:rsidR="00E70D6D" w:rsidRDefault="00E70D6D" w:rsidP="003B0A18">
      <w:pPr>
        <w:jc w:val="center"/>
        <w:rPr>
          <w:b/>
          <w:bCs/>
          <w:sz w:val="32"/>
          <w:szCs w:val="28"/>
        </w:rPr>
      </w:pPr>
    </w:p>
    <w:p w14:paraId="4161DAB9" w14:textId="77777777" w:rsidR="00E70D6D" w:rsidRDefault="00E70D6D" w:rsidP="003B0A18">
      <w:pPr>
        <w:jc w:val="center"/>
        <w:rPr>
          <w:b/>
          <w:bCs/>
          <w:sz w:val="32"/>
          <w:szCs w:val="28"/>
        </w:rPr>
      </w:pPr>
    </w:p>
    <w:p w14:paraId="361F8928" w14:textId="77777777" w:rsidR="00E70D6D" w:rsidRDefault="00E70D6D" w:rsidP="003B0A18">
      <w:pPr>
        <w:jc w:val="center"/>
        <w:rPr>
          <w:b/>
          <w:bCs/>
          <w:sz w:val="32"/>
          <w:szCs w:val="28"/>
        </w:rPr>
      </w:pPr>
    </w:p>
    <w:p w14:paraId="391F2BE0" w14:textId="77777777" w:rsidR="00E70D6D" w:rsidRDefault="00E70D6D" w:rsidP="003B0A18">
      <w:pPr>
        <w:jc w:val="center"/>
        <w:rPr>
          <w:b/>
          <w:bCs/>
          <w:sz w:val="32"/>
          <w:szCs w:val="28"/>
        </w:rPr>
      </w:pPr>
    </w:p>
    <w:p w14:paraId="375A1703" w14:textId="72DD9161" w:rsidR="00E70D6D" w:rsidRPr="00E70D6D" w:rsidRDefault="00E70D6D" w:rsidP="003B0A18">
      <w:pPr>
        <w:jc w:val="center"/>
        <w:rPr>
          <w:b/>
          <w:bCs/>
          <w:sz w:val="32"/>
          <w:szCs w:val="28"/>
        </w:rPr>
      </w:pPr>
      <w:r w:rsidRPr="00E70D6D">
        <w:rPr>
          <w:b/>
          <w:bCs/>
          <w:sz w:val="32"/>
          <w:szCs w:val="28"/>
        </w:rPr>
        <w:t>FINANCING A BUSINESS VENTURE AND LEGAL ASPECTS</w:t>
      </w:r>
    </w:p>
    <w:p w14:paraId="4CCCF321" w14:textId="77777777" w:rsidR="00BF3948" w:rsidRDefault="00BF3948" w:rsidP="003B0A18">
      <w:pPr>
        <w:spacing w:before="0" w:after="160"/>
        <w:jc w:val="left"/>
        <w:rPr>
          <w:rFonts w:eastAsia="SimSun" w:cs="Times New Roman"/>
          <w:b/>
          <w:bCs/>
          <w:noProof/>
          <w:kern w:val="0"/>
          <w:sz w:val="28"/>
          <w:szCs w:val="28"/>
          <w14:ligatures w14:val="none"/>
        </w:rPr>
      </w:pPr>
      <w:r>
        <w:br w:type="page"/>
      </w:r>
    </w:p>
    <w:sdt>
      <w:sdtPr>
        <w:rPr>
          <w:rFonts w:ascii="Times New Roman" w:eastAsiaTheme="minorHAnsi" w:hAnsi="Times New Roman" w:cstheme="minorBidi"/>
          <w:color w:val="auto"/>
          <w:kern w:val="2"/>
          <w:sz w:val="24"/>
          <w:szCs w:val="22"/>
          <w:lang w:val="en-GB" w:eastAsia="en-US" w:bidi="ar-SA"/>
          <w14:ligatures w14:val="standardContextual"/>
        </w:rPr>
        <w:id w:val="2017647784"/>
        <w:docPartObj>
          <w:docPartGallery w:val="Table of Contents"/>
          <w:docPartUnique/>
        </w:docPartObj>
      </w:sdtPr>
      <w:sdtEndPr>
        <w:rPr>
          <w:b/>
          <w:bCs/>
        </w:rPr>
      </w:sdtEndPr>
      <w:sdtContent>
        <w:p w14:paraId="7EDBA792" w14:textId="53C4B35B" w:rsidR="003B0A18" w:rsidRPr="003B0A18" w:rsidRDefault="003B0A18" w:rsidP="003B0A18">
          <w:pPr>
            <w:pStyle w:val="TOCHeading"/>
            <w:spacing w:line="360" w:lineRule="auto"/>
            <w:jc w:val="center"/>
            <w:rPr>
              <w:rFonts w:ascii="Times New Roman" w:hAnsi="Times New Roman" w:cs="Times New Roman"/>
              <w:b/>
              <w:bCs/>
              <w:color w:val="auto"/>
            </w:rPr>
          </w:pPr>
          <w:r w:rsidRPr="003B0A18">
            <w:rPr>
              <w:rFonts w:ascii="Times New Roman" w:hAnsi="Times New Roman" w:cs="Times New Roman"/>
              <w:b/>
              <w:bCs/>
              <w:color w:val="auto"/>
              <w:lang w:val="en-GB"/>
            </w:rPr>
            <w:t>Table of Contents</w:t>
          </w:r>
        </w:p>
        <w:p w14:paraId="710AC59A" w14:textId="753E91DD" w:rsidR="006A2A4E" w:rsidRDefault="003B0A18">
          <w:pPr>
            <w:pStyle w:val="TOC1"/>
            <w:tabs>
              <w:tab w:val="left" w:pos="480"/>
              <w:tab w:val="right" w:leader="dot" w:pos="9016"/>
            </w:tabs>
            <w:rPr>
              <w:rFonts w:asciiTheme="minorHAnsi" w:eastAsiaTheme="minorEastAsia" w:hAnsiTheme="minorHAnsi"/>
              <w:noProof/>
              <w:szCs w:val="21"/>
              <w:lang w:eastAsia="en-IN" w:bidi="hi-IN"/>
            </w:rPr>
          </w:pPr>
          <w:r>
            <w:fldChar w:fldCharType="begin"/>
          </w:r>
          <w:r>
            <w:instrText xml:space="preserve"> TOC \o "1-3" \h \z \u </w:instrText>
          </w:r>
          <w:r>
            <w:fldChar w:fldCharType="separate"/>
          </w:r>
          <w:hyperlink w:anchor="_Toc240105940" w:history="1">
            <w:r w:rsidR="006A2A4E" w:rsidRPr="00A14564">
              <w:rPr>
                <w:rStyle w:val="Hyperlink"/>
                <w:noProof/>
              </w:rPr>
              <w:t>1.</w:t>
            </w:r>
            <w:r w:rsidR="006A2A4E">
              <w:rPr>
                <w:rFonts w:asciiTheme="minorHAnsi" w:eastAsiaTheme="minorEastAsia" w:hAnsiTheme="minorHAnsi"/>
                <w:noProof/>
                <w:szCs w:val="21"/>
                <w:lang w:eastAsia="en-IN" w:bidi="hi-IN"/>
              </w:rPr>
              <w:tab/>
            </w:r>
            <w:r w:rsidR="006A2A4E" w:rsidRPr="00A14564">
              <w:rPr>
                <w:rStyle w:val="Hyperlink"/>
                <w:noProof/>
              </w:rPr>
              <w:t>Introduction and Overview of the Business Idea</w:t>
            </w:r>
            <w:r w:rsidR="006A2A4E">
              <w:rPr>
                <w:noProof/>
                <w:webHidden/>
              </w:rPr>
              <w:tab/>
            </w:r>
            <w:r w:rsidR="006A2A4E">
              <w:rPr>
                <w:noProof/>
                <w:webHidden/>
              </w:rPr>
              <w:fldChar w:fldCharType="begin"/>
            </w:r>
            <w:r w:rsidR="006A2A4E">
              <w:rPr>
                <w:noProof/>
                <w:webHidden/>
              </w:rPr>
              <w:instrText xml:space="preserve"> PAGEREF _Toc240105940 \h </w:instrText>
            </w:r>
            <w:r w:rsidR="006A2A4E">
              <w:rPr>
                <w:noProof/>
                <w:webHidden/>
              </w:rPr>
            </w:r>
            <w:r w:rsidR="006A2A4E">
              <w:rPr>
                <w:noProof/>
                <w:webHidden/>
              </w:rPr>
              <w:fldChar w:fldCharType="separate"/>
            </w:r>
            <w:r w:rsidR="006A2A4E">
              <w:rPr>
                <w:noProof/>
                <w:webHidden/>
              </w:rPr>
              <w:t>3</w:t>
            </w:r>
            <w:r w:rsidR="006A2A4E">
              <w:rPr>
                <w:noProof/>
                <w:webHidden/>
              </w:rPr>
              <w:fldChar w:fldCharType="end"/>
            </w:r>
          </w:hyperlink>
        </w:p>
        <w:p w14:paraId="454B9BEE" w14:textId="41420F01" w:rsidR="006A2A4E" w:rsidRDefault="006A2A4E">
          <w:pPr>
            <w:pStyle w:val="TOC1"/>
            <w:tabs>
              <w:tab w:val="left" w:pos="480"/>
              <w:tab w:val="right" w:leader="dot" w:pos="9016"/>
            </w:tabs>
            <w:rPr>
              <w:rFonts w:asciiTheme="minorHAnsi" w:eastAsiaTheme="minorEastAsia" w:hAnsiTheme="minorHAnsi"/>
              <w:noProof/>
              <w:szCs w:val="21"/>
              <w:lang w:eastAsia="en-IN" w:bidi="hi-IN"/>
            </w:rPr>
          </w:pPr>
          <w:hyperlink w:anchor="_Toc240105941" w:history="1">
            <w:r w:rsidRPr="00A14564">
              <w:rPr>
                <w:rStyle w:val="Hyperlink"/>
                <w:noProof/>
              </w:rPr>
              <w:t>2.</w:t>
            </w:r>
            <w:r>
              <w:rPr>
                <w:rFonts w:asciiTheme="minorHAnsi" w:eastAsiaTheme="minorEastAsia" w:hAnsiTheme="minorHAnsi"/>
                <w:noProof/>
                <w:szCs w:val="21"/>
                <w:lang w:eastAsia="en-IN" w:bidi="hi-IN"/>
              </w:rPr>
              <w:tab/>
            </w:r>
            <w:r w:rsidRPr="00A14564">
              <w:rPr>
                <w:rStyle w:val="Hyperlink"/>
                <w:noProof/>
              </w:rPr>
              <w:t>Financial Viability Assessment</w:t>
            </w:r>
            <w:r>
              <w:rPr>
                <w:noProof/>
                <w:webHidden/>
              </w:rPr>
              <w:tab/>
            </w:r>
            <w:r>
              <w:rPr>
                <w:noProof/>
                <w:webHidden/>
              </w:rPr>
              <w:fldChar w:fldCharType="begin"/>
            </w:r>
            <w:r>
              <w:rPr>
                <w:noProof/>
                <w:webHidden/>
              </w:rPr>
              <w:instrText xml:space="preserve"> PAGEREF _Toc240105941 \h </w:instrText>
            </w:r>
            <w:r>
              <w:rPr>
                <w:noProof/>
                <w:webHidden/>
              </w:rPr>
            </w:r>
            <w:r>
              <w:rPr>
                <w:noProof/>
                <w:webHidden/>
              </w:rPr>
              <w:fldChar w:fldCharType="separate"/>
            </w:r>
            <w:r>
              <w:rPr>
                <w:noProof/>
                <w:webHidden/>
              </w:rPr>
              <w:t>3</w:t>
            </w:r>
            <w:r>
              <w:rPr>
                <w:noProof/>
                <w:webHidden/>
              </w:rPr>
              <w:fldChar w:fldCharType="end"/>
            </w:r>
          </w:hyperlink>
        </w:p>
        <w:p w14:paraId="00A9E463" w14:textId="0D124258" w:rsidR="006A2A4E" w:rsidRDefault="006A2A4E">
          <w:pPr>
            <w:pStyle w:val="TOC2"/>
            <w:tabs>
              <w:tab w:val="left" w:pos="960"/>
              <w:tab w:val="right" w:leader="dot" w:pos="9016"/>
            </w:tabs>
            <w:rPr>
              <w:rFonts w:asciiTheme="minorHAnsi" w:eastAsiaTheme="minorEastAsia" w:hAnsiTheme="minorHAnsi"/>
              <w:noProof/>
              <w:szCs w:val="21"/>
              <w:lang w:eastAsia="en-IN" w:bidi="hi-IN"/>
            </w:rPr>
          </w:pPr>
          <w:hyperlink w:anchor="_Toc240105942" w:history="1">
            <w:r w:rsidRPr="00A14564">
              <w:rPr>
                <w:rStyle w:val="Hyperlink"/>
                <w:noProof/>
              </w:rPr>
              <w:t>2.1</w:t>
            </w:r>
            <w:r>
              <w:rPr>
                <w:rFonts w:asciiTheme="minorHAnsi" w:eastAsiaTheme="minorEastAsia" w:hAnsiTheme="minorHAnsi"/>
                <w:noProof/>
                <w:szCs w:val="21"/>
                <w:lang w:eastAsia="en-IN" w:bidi="hi-IN"/>
              </w:rPr>
              <w:tab/>
            </w:r>
            <w:r w:rsidRPr="00A14564">
              <w:rPr>
                <w:rStyle w:val="Hyperlink"/>
                <w:noProof/>
              </w:rPr>
              <w:t>Funding Sources and Allocation</w:t>
            </w:r>
            <w:r>
              <w:rPr>
                <w:noProof/>
                <w:webHidden/>
              </w:rPr>
              <w:tab/>
            </w:r>
            <w:r>
              <w:rPr>
                <w:noProof/>
                <w:webHidden/>
              </w:rPr>
              <w:fldChar w:fldCharType="begin"/>
            </w:r>
            <w:r>
              <w:rPr>
                <w:noProof/>
                <w:webHidden/>
              </w:rPr>
              <w:instrText xml:space="preserve"> PAGEREF _Toc240105942 \h </w:instrText>
            </w:r>
            <w:r>
              <w:rPr>
                <w:noProof/>
                <w:webHidden/>
              </w:rPr>
            </w:r>
            <w:r>
              <w:rPr>
                <w:noProof/>
                <w:webHidden/>
              </w:rPr>
              <w:fldChar w:fldCharType="separate"/>
            </w:r>
            <w:r>
              <w:rPr>
                <w:noProof/>
                <w:webHidden/>
              </w:rPr>
              <w:t>3</w:t>
            </w:r>
            <w:r>
              <w:rPr>
                <w:noProof/>
                <w:webHidden/>
              </w:rPr>
              <w:fldChar w:fldCharType="end"/>
            </w:r>
          </w:hyperlink>
        </w:p>
        <w:p w14:paraId="10AB6529" w14:textId="4A778B5B" w:rsidR="006A2A4E" w:rsidRDefault="006A2A4E">
          <w:pPr>
            <w:pStyle w:val="TOC2"/>
            <w:tabs>
              <w:tab w:val="left" w:pos="960"/>
              <w:tab w:val="right" w:leader="dot" w:pos="9016"/>
            </w:tabs>
            <w:rPr>
              <w:rFonts w:asciiTheme="minorHAnsi" w:eastAsiaTheme="minorEastAsia" w:hAnsiTheme="minorHAnsi"/>
              <w:noProof/>
              <w:szCs w:val="21"/>
              <w:lang w:eastAsia="en-IN" w:bidi="hi-IN"/>
            </w:rPr>
          </w:pPr>
          <w:hyperlink w:anchor="_Toc240105943" w:history="1">
            <w:r w:rsidRPr="00A14564">
              <w:rPr>
                <w:rStyle w:val="Hyperlink"/>
                <w:noProof/>
              </w:rPr>
              <w:t>2.2</w:t>
            </w:r>
            <w:r>
              <w:rPr>
                <w:rFonts w:asciiTheme="minorHAnsi" w:eastAsiaTheme="minorEastAsia" w:hAnsiTheme="minorHAnsi"/>
                <w:noProof/>
                <w:szCs w:val="21"/>
                <w:lang w:eastAsia="en-IN" w:bidi="hi-IN"/>
              </w:rPr>
              <w:tab/>
            </w:r>
            <w:r w:rsidRPr="00A14564">
              <w:rPr>
                <w:rStyle w:val="Hyperlink"/>
                <w:noProof/>
              </w:rPr>
              <w:t>Revenue Model and Cost Structure</w:t>
            </w:r>
            <w:r>
              <w:rPr>
                <w:noProof/>
                <w:webHidden/>
              </w:rPr>
              <w:tab/>
            </w:r>
            <w:r>
              <w:rPr>
                <w:noProof/>
                <w:webHidden/>
              </w:rPr>
              <w:fldChar w:fldCharType="begin"/>
            </w:r>
            <w:r>
              <w:rPr>
                <w:noProof/>
                <w:webHidden/>
              </w:rPr>
              <w:instrText xml:space="preserve"> PAGEREF _Toc240105943 \h </w:instrText>
            </w:r>
            <w:r>
              <w:rPr>
                <w:noProof/>
                <w:webHidden/>
              </w:rPr>
            </w:r>
            <w:r>
              <w:rPr>
                <w:noProof/>
                <w:webHidden/>
              </w:rPr>
              <w:fldChar w:fldCharType="separate"/>
            </w:r>
            <w:r>
              <w:rPr>
                <w:noProof/>
                <w:webHidden/>
              </w:rPr>
              <w:t>5</w:t>
            </w:r>
            <w:r>
              <w:rPr>
                <w:noProof/>
                <w:webHidden/>
              </w:rPr>
              <w:fldChar w:fldCharType="end"/>
            </w:r>
          </w:hyperlink>
        </w:p>
        <w:p w14:paraId="1A549C68" w14:textId="53749869" w:rsidR="006A2A4E" w:rsidRDefault="006A2A4E">
          <w:pPr>
            <w:pStyle w:val="TOC2"/>
            <w:tabs>
              <w:tab w:val="left" w:pos="960"/>
              <w:tab w:val="right" w:leader="dot" w:pos="9016"/>
            </w:tabs>
            <w:rPr>
              <w:rFonts w:asciiTheme="minorHAnsi" w:eastAsiaTheme="minorEastAsia" w:hAnsiTheme="minorHAnsi"/>
              <w:noProof/>
              <w:szCs w:val="21"/>
              <w:lang w:eastAsia="en-IN" w:bidi="hi-IN"/>
            </w:rPr>
          </w:pPr>
          <w:hyperlink w:anchor="_Toc240105944" w:history="1">
            <w:r w:rsidRPr="00A14564">
              <w:rPr>
                <w:rStyle w:val="Hyperlink"/>
                <w:noProof/>
              </w:rPr>
              <w:t>2.3</w:t>
            </w:r>
            <w:r>
              <w:rPr>
                <w:rFonts w:asciiTheme="minorHAnsi" w:eastAsiaTheme="minorEastAsia" w:hAnsiTheme="minorHAnsi"/>
                <w:noProof/>
                <w:szCs w:val="21"/>
                <w:lang w:eastAsia="en-IN" w:bidi="hi-IN"/>
              </w:rPr>
              <w:tab/>
            </w:r>
            <w:r w:rsidRPr="00A14564">
              <w:rPr>
                <w:rStyle w:val="Hyperlink"/>
                <w:noProof/>
              </w:rPr>
              <w:t>Three-Year Financial Plan</w:t>
            </w:r>
            <w:r>
              <w:rPr>
                <w:noProof/>
                <w:webHidden/>
              </w:rPr>
              <w:tab/>
            </w:r>
            <w:r>
              <w:rPr>
                <w:noProof/>
                <w:webHidden/>
              </w:rPr>
              <w:fldChar w:fldCharType="begin"/>
            </w:r>
            <w:r>
              <w:rPr>
                <w:noProof/>
                <w:webHidden/>
              </w:rPr>
              <w:instrText xml:space="preserve"> PAGEREF _Toc240105944 \h </w:instrText>
            </w:r>
            <w:r>
              <w:rPr>
                <w:noProof/>
                <w:webHidden/>
              </w:rPr>
            </w:r>
            <w:r>
              <w:rPr>
                <w:noProof/>
                <w:webHidden/>
              </w:rPr>
              <w:fldChar w:fldCharType="separate"/>
            </w:r>
            <w:r>
              <w:rPr>
                <w:noProof/>
                <w:webHidden/>
              </w:rPr>
              <w:t>7</w:t>
            </w:r>
            <w:r>
              <w:rPr>
                <w:noProof/>
                <w:webHidden/>
              </w:rPr>
              <w:fldChar w:fldCharType="end"/>
            </w:r>
          </w:hyperlink>
        </w:p>
        <w:p w14:paraId="3B00FDD6" w14:textId="38B1E8F9" w:rsidR="006A2A4E" w:rsidRDefault="006A2A4E">
          <w:pPr>
            <w:pStyle w:val="TOC2"/>
            <w:tabs>
              <w:tab w:val="left" w:pos="960"/>
              <w:tab w:val="right" w:leader="dot" w:pos="9016"/>
            </w:tabs>
            <w:rPr>
              <w:rFonts w:asciiTheme="minorHAnsi" w:eastAsiaTheme="minorEastAsia" w:hAnsiTheme="minorHAnsi"/>
              <w:noProof/>
              <w:szCs w:val="21"/>
              <w:lang w:eastAsia="en-IN" w:bidi="hi-IN"/>
            </w:rPr>
          </w:pPr>
          <w:hyperlink w:anchor="_Toc240105945" w:history="1">
            <w:r w:rsidRPr="00A14564">
              <w:rPr>
                <w:rStyle w:val="Hyperlink"/>
                <w:noProof/>
              </w:rPr>
              <w:t>2.4</w:t>
            </w:r>
            <w:r>
              <w:rPr>
                <w:rFonts w:asciiTheme="minorHAnsi" w:eastAsiaTheme="minorEastAsia" w:hAnsiTheme="minorHAnsi"/>
                <w:noProof/>
                <w:szCs w:val="21"/>
                <w:lang w:eastAsia="en-IN" w:bidi="hi-IN"/>
              </w:rPr>
              <w:tab/>
            </w:r>
            <w:r w:rsidRPr="00A14564">
              <w:rPr>
                <w:rStyle w:val="Hyperlink"/>
                <w:noProof/>
              </w:rPr>
              <w:t>Scenario Testing and Risk Evaluation</w:t>
            </w:r>
            <w:r>
              <w:rPr>
                <w:noProof/>
                <w:webHidden/>
              </w:rPr>
              <w:tab/>
            </w:r>
            <w:r>
              <w:rPr>
                <w:noProof/>
                <w:webHidden/>
              </w:rPr>
              <w:fldChar w:fldCharType="begin"/>
            </w:r>
            <w:r>
              <w:rPr>
                <w:noProof/>
                <w:webHidden/>
              </w:rPr>
              <w:instrText xml:space="preserve"> PAGEREF _Toc240105945 \h </w:instrText>
            </w:r>
            <w:r>
              <w:rPr>
                <w:noProof/>
                <w:webHidden/>
              </w:rPr>
            </w:r>
            <w:r>
              <w:rPr>
                <w:noProof/>
                <w:webHidden/>
              </w:rPr>
              <w:fldChar w:fldCharType="separate"/>
            </w:r>
            <w:r>
              <w:rPr>
                <w:noProof/>
                <w:webHidden/>
              </w:rPr>
              <w:t>10</w:t>
            </w:r>
            <w:r>
              <w:rPr>
                <w:noProof/>
                <w:webHidden/>
              </w:rPr>
              <w:fldChar w:fldCharType="end"/>
            </w:r>
          </w:hyperlink>
        </w:p>
        <w:p w14:paraId="3016D7D8" w14:textId="62CF5BEB" w:rsidR="006A2A4E" w:rsidRDefault="006A2A4E">
          <w:pPr>
            <w:pStyle w:val="TOC1"/>
            <w:tabs>
              <w:tab w:val="left" w:pos="480"/>
              <w:tab w:val="right" w:leader="dot" w:pos="9016"/>
            </w:tabs>
            <w:rPr>
              <w:rFonts w:asciiTheme="minorHAnsi" w:eastAsiaTheme="minorEastAsia" w:hAnsiTheme="minorHAnsi"/>
              <w:noProof/>
              <w:szCs w:val="21"/>
              <w:lang w:eastAsia="en-IN" w:bidi="hi-IN"/>
            </w:rPr>
          </w:pPr>
          <w:hyperlink w:anchor="_Toc240105946" w:history="1">
            <w:r w:rsidRPr="00A14564">
              <w:rPr>
                <w:rStyle w:val="Hyperlink"/>
                <w:noProof/>
              </w:rPr>
              <w:t>3.</w:t>
            </w:r>
            <w:r>
              <w:rPr>
                <w:rFonts w:asciiTheme="minorHAnsi" w:eastAsiaTheme="minorEastAsia" w:hAnsiTheme="minorHAnsi"/>
                <w:noProof/>
                <w:szCs w:val="21"/>
                <w:lang w:eastAsia="en-IN" w:bidi="hi-IN"/>
              </w:rPr>
              <w:tab/>
            </w:r>
            <w:r w:rsidRPr="00A14564">
              <w:rPr>
                <w:rStyle w:val="Hyperlink"/>
                <w:noProof/>
              </w:rPr>
              <w:t>Legal Structure and Requirements</w:t>
            </w:r>
            <w:r>
              <w:rPr>
                <w:noProof/>
                <w:webHidden/>
              </w:rPr>
              <w:tab/>
            </w:r>
            <w:r>
              <w:rPr>
                <w:noProof/>
                <w:webHidden/>
              </w:rPr>
              <w:fldChar w:fldCharType="begin"/>
            </w:r>
            <w:r>
              <w:rPr>
                <w:noProof/>
                <w:webHidden/>
              </w:rPr>
              <w:instrText xml:space="preserve"> PAGEREF _Toc240105946 \h </w:instrText>
            </w:r>
            <w:r>
              <w:rPr>
                <w:noProof/>
                <w:webHidden/>
              </w:rPr>
            </w:r>
            <w:r>
              <w:rPr>
                <w:noProof/>
                <w:webHidden/>
              </w:rPr>
              <w:fldChar w:fldCharType="separate"/>
            </w:r>
            <w:r>
              <w:rPr>
                <w:noProof/>
                <w:webHidden/>
              </w:rPr>
              <w:t>13</w:t>
            </w:r>
            <w:r>
              <w:rPr>
                <w:noProof/>
                <w:webHidden/>
              </w:rPr>
              <w:fldChar w:fldCharType="end"/>
            </w:r>
          </w:hyperlink>
        </w:p>
        <w:p w14:paraId="77633436" w14:textId="2F2DFC5C" w:rsidR="006A2A4E" w:rsidRDefault="006A2A4E">
          <w:pPr>
            <w:pStyle w:val="TOC2"/>
            <w:tabs>
              <w:tab w:val="left" w:pos="960"/>
              <w:tab w:val="right" w:leader="dot" w:pos="9016"/>
            </w:tabs>
            <w:rPr>
              <w:rFonts w:asciiTheme="minorHAnsi" w:eastAsiaTheme="minorEastAsia" w:hAnsiTheme="minorHAnsi"/>
              <w:noProof/>
              <w:szCs w:val="21"/>
              <w:lang w:eastAsia="en-IN" w:bidi="hi-IN"/>
            </w:rPr>
          </w:pPr>
          <w:hyperlink w:anchor="_Toc240105947" w:history="1">
            <w:r w:rsidRPr="00A14564">
              <w:rPr>
                <w:rStyle w:val="Hyperlink"/>
                <w:noProof/>
              </w:rPr>
              <w:t>3.1</w:t>
            </w:r>
            <w:r>
              <w:rPr>
                <w:rFonts w:asciiTheme="minorHAnsi" w:eastAsiaTheme="minorEastAsia" w:hAnsiTheme="minorHAnsi"/>
                <w:noProof/>
                <w:szCs w:val="21"/>
                <w:lang w:eastAsia="en-IN" w:bidi="hi-IN"/>
              </w:rPr>
              <w:tab/>
            </w:r>
            <w:r w:rsidRPr="00A14564">
              <w:rPr>
                <w:rStyle w:val="Hyperlink"/>
                <w:noProof/>
              </w:rPr>
              <w:t>Legal Structure and Justification</w:t>
            </w:r>
            <w:r>
              <w:rPr>
                <w:noProof/>
                <w:webHidden/>
              </w:rPr>
              <w:tab/>
            </w:r>
            <w:r>
              <w:rPr>
                <w:noProof/>
                <w:webHidden/>
              </w:rPr>
              <w:fldChar w:fldCharType="begin"/>
            </w:r>
            <w:r>
              <w:rPr>
                <w:noProof/>
                <w:webHidden/>
              </w:rPr>
              <w:instrText xml:space="preserve"> PAGEREF _Toc240105947 \h </w:instrText>
            </w:r>
            <w:r>
              <w:rPr>
                <w:noProof/>
                <w:webHidden/>
              </w:rPr>
            </w:r>
            <w:r>
              <w:rPr>
                <w:noProof/>
                <w:webHidden/>
              </w:rPr>
              <w:fldChar w:fldCharType="separate"/>
            </w:r>
            <w:r>
              <w:rPr>
                <w:noProof/>
                <w:webHidden/>
              </w:rPr>
              <w:t>13</w:t>
            </w:r>
            <w:r>
              <w:rPr>
                <w:noProof/>
                <w:webHidden/>
              </w:rPr>
              <w:fldChar w:fldCharType="end"/>
            </w:r>
          </w:hyperlink>
        </w:p>
        <w:p w14:paraId="33D6E50B" w14:textId="65C760EE" w:rsidR="006A2A4E" w:rsidRDefault="006A2A4E">
          <w:pPr>
            <w:pStyle w:val="TOC2"/>
            <w:tabs>
              <w:tab w:val="left" w:pos="960"/>
              <w:tab w:val="right" w:leader="dot" w:pos="9016"/>
            </w:tabs>
            <w:rPr>
              <w:rFonts w:asciiTheme="minorHAnsi" w:eastAsiaTheme="minorEastAsia" w:hAnsiTheme="minorHAnsi"/>
              <w:noProof/>
              <w:szCs w:val="21"/>
              <w:lang w:eastAsia="en-IN" w:bidi="hi-IN"/>
            </w:rPr>
          </w:pPr>
          <w:hyperlink w:anchor="_Toc240105948" w:history="1">
            <w:r w:rsidRPr="00A14564">
              <w:rPr>
                <w:rStyle w:val="Hyperlink"/>
                <w:noProof/>
              </w:rPr>
              <w:t>3.2</w:t>
            </w:r>
            <w:r>
              <w:rPr>
                <w:rFonts w:asciiTheme="minorHAnsi" w:eastAsiaTheme="minorEastAsia" w:hAnsiTheme="minorHAnsi"/>
                <w:noProof/>
                <w:szCs w:val="21"/>
                <w:lang w:eastAsia="en-IN" w:bidi="hi-IN"/>
              </w:rPr>
              <w:tab/>
            </w:r>
            <w:r w:rsidRPr="00A14564">
              <w:rPr>
                <w:rStyle w:val="Hyperlink"/>
                <w:noProof/>
              </w:rPr>
              <w:t>Legal and Regulatory Obligations</w:t>
            </w:r>
            <w:r>
              <w:rPr>
                <w:noProof/>
                <w:webHidden/>
              </w:rPr>
              <w:tab/>
            </w:r>
            <w:r>
              <w:rPr>
                <w:noProof/>
                <w:webHidden/>
              </w:rPr>
              <w:fldChar w:fldCharType="begin"/>
            </w:r>
            <w:r>
              <w:rPr>
                <w:noProof/>
                <w:webHidden/>
              </w:rPr>
              <w:instrText xml:space="preserve"> PAGEREF _Toc240105948 \h </w:instrText>
            </w:r>
            <w:r>
              <w:rPr>
                <w:noProof/>
                <w:webHidden/>
              </w:rPr>
            </w:r>
            <w:r>
              <w:rPr>
                <w:noProof/>
                <w:webHidden/>
              </w:rPr>
              <w:fldChar w:fldCharType="separate"/>
            </w:r>
            <w:r>
              <w:rPr>
                <w:noProof/>
                <w:webHidden/>
              </w:rPr>
              <w:t>13</w:t>
            </w:r>
            <w:r>
              <w:rPr>
                <w:noProof/>
                <w:webHidden/>
              </w:rPr>
              <w:fldChar w:fldCharType="end"/>
            </w:r>
          </w:hyperlink>
        </w:p>
        <w:p w14:paraId="561DA05A" w14:textId="6D5591A3" w:rsidR="006A2A4E" w:rsidRDefault="006A2A4E">
          <w:pPr>
            <w:pStyle w:val="TOC1"/>
            <w:tabs>
              <w:tab w:val="left" w:pos="480"/>
              <w:tab w:val="right" w:leader="dot" w:pos="9016"/>
            </w:tabs>
            <w:rPr>
              <w:rFonts w:asciiTheme="minorHAnsi" w:eastAsiaTheme="minorEastAsia" w:hAnsiTheme="minorHAnsi"/>
              <w:noProof/>
              <w:szCs w:val="21"/>
              <w:lang w:eastAsia="en-IN" w:bidi="hi-IN"/>
            </w:rPr>
          </w:pPr>
          <w:hyperlink w:anchor="_Toc240105949" w:history="1">
            <w:r w:rsidRPr="00A14564">
              <w:rPr>
                <w:rStyle w:val="Hyperlink"/>
                <w:noProof/>
              </w:rPr>
              <w:t>4.</w:t>
            </w:r>
            <w:r>
              <w:rPr>
                <w:rFonts w:asciiTheme="minorHAnsi" w:eastAsiaTheme="minorEastAsia" w:hAnsiTheme="minorHAnsi"/>
                <w:noProof/>
                <w:szCs w:val="21"/>
                <w:lang w:eastAsia="en-IN" w:bidi="hi-IN"/>
              </w:rPr>
              <w:tab/>
            </w:r>
            <w:r w:rsidRPr="00A14564">
              <w:rPr>
                <w:rStyle w:val="Hyperlink"/>
                <w:noProof/>
              </w:rPr>
              <w:t>Financial and Legal Documentation</w:t>
            </w:r>
            <w:r>
              <w:rPr>
                <w:noProof/>
                <w:webHidden/>
              </w:rPr>
              <w:tab/>
            </w:r>
            <w:r>
              <w:rPr>
                <w:noProof/>
                <w:webHidden/>
              </w:rPr>
              <w:fldChar w:fldCharType="begin"/>
            </w:r>
            <w:r>
              <w:rPr>
                <w:noProof/>
                <w:webHidden/>
              </w:rPr>
              <w:instrText xml:space="preserve"> PAGEREF _Toc240105949 \h </w:instrText>
            </w:r>
            <w:r>
              <w:rPr>
                <w:noProof/>
                <w:webHidden/>
              </w:rPr>
            </w:r>
            <w:r>
              <w:rPr>
                <w:noProof/>
                <w:webHidden/>
              </w:rPr>
              <w:fldChar w:fldCharType="separate"/>
            </w:r>
            <w:r>
              <w:rPr>
                <w:noProof/>
                <w:webHidden/>
              </w:rPr>
              <w:t>16</w:t>
            </w:r>
            <w:r>
              <w:rPr>
                <w:noProof/>
                <w:webHidden/>
              </w:rPr>
              <w:fldChar w:fldCharType="end"/>
            </w:r>
          </w:hyperlink>
        </w:p>
        <w:p w14:paraId="499D6FDE" w14:textId="39810839" w:rsidR="006A2A4E" w:rsidRDefault="006A2A4E">
          <w:pPr>
            <w:pStyle w:val="TOC2"/>
            <w:tabs>
              <w:tab w:val="left" w:pos="960"/>
              <w:tab w:val="right" w:leader="dot" w:pos="9016"/>
            </w:tabs>
            <w:rPr>
              <w:rFonts w:asciiTheme="minorHAnsi" w:eastAsiaTheme="minorEastAsia" w:hAnsiTheme="minorHAnsi"/>
              <w:noProof/>
              <w:szCs w:val="21"/>
              <w:lang w:eastAsia="en-IN" w:bidi="hi-IN"/>
            </w:rPr>
          </w:pPr>
          <w:hyperlink w:anchor="_Toc240105950" w:history="1">
            <w:r w:rsidRPr="00A14564">
              <w:rPr>
                <w:rStyle w:val="Hyperlink"/>
                <w:noProof/>
              </w:rPr>
              <w:t>4.1</w:t>
            </w:r>
            <w:r>
              <w:rPr>
                <w:rFonts w:asciiTheme="minorHAnsi" w:eastAsiaTheme="minorEastAsia" w:hAnsiTheme="minorHAnsi"/>
                <w:noProof/>
                <w:szCs w:val="21"/>
                <w:lang w:eastAsia="en-IN" w:bidi="hi-IN"/>
              </w:rPr>
              <w:tab/>
            </w:r>
            <w:r w:rsidRPr="00A14564">
              <w:rPr>
                <w:rStyle w:val="Hyperlink"/>
                <w:noProof/>
              </w:rPr>
              <w:t>Application and Interpretation of Financial and Legal Documentation</w:t>
            </w:r>
            <w:r>
              <w:rPr>
                <w:noProof/>
                <w:webHidden/>
              </w:rPr>
              <w:tab/>
            </w:r>
            <w:r>
              <w:rPr>
                <w:noProof/>
                <w:webHidden/>
              </w:rPr>
              <w:fldChar w:fldCharType="begin"/>
            </w:r>
            <w:r>
              <w:rPr>
                <w:noProof/>
                <w:webHidden/>
              </w:rPr>
              <w:instrText xml:space="preserve"> PAGEREF _Toc240105950 \h </w:instrText>
            </w:r>
            <w:r>
              <w:rPr>
                <w:noProof/>
                <w:webHidden/>
              </w:rPr>
            </w:r>
            <w:r>
              <w:rPr>
                <w:noProof/>
                <w:webHidden/>
              </w:rPr>
              <w:fldChar w:fldCharType="separate"/>
            </w:r>
            <w:r>
              <w:rPr>
                <w:noProof/>
                <w:webHidden/>
              </w:rPr>
              <w:t>16</w:t>
            </w:r>
            <w:r>
              <w:rPr>
                <w:noProof/>
                <w:webHidden/>
              </w:rPr>
              <w:fldChar w:fldCharType="end"/>
            </w:r>
          </w:hyperlink>
        </w:p>
        <w:p w14:paraId="37D962F4" w14:textId="7D306879" w:rsidR="006A2A4E" w:rsidRDefault="006A2A4E">
          <w:pPr>
            <w:pStyle w:val="TOC2"/>
            <w:tabs>
              <w:tab w:val="left" w:pos="960"/>
              <w:tab w:val="right" w:leader="dot" w:pos="9016"/>
            </w:tabs>
            <w:rPr>
              <w:rFonts w:asciiTheme="minorHAnsi" w:eastAsiaTheme="minorEastAsia" w:hAnsiTheme="minorHAnsi"/>
              <w:noProof/>
              <w:szCs w:val="21"/>
              <w:lang w:eastAsia="en-IN" w:bidi="hi-IN"/>
            </w:rPr>
          </w:pPr>
          <w:hyperlink w:anchor="_Toc240105951" w:history="1">
            <w:r w:rsidRPr="00A14564">
              <w:rPr>
                <w:rStyle w:val="Hyperlink"/>
                <w:noProof/>
              </w:rPr>
              <w:t>4.2</w:t>
            </w:r>
            <w:r>
              <w:rPr>
                <w:rFonts w:asciiTheme="minorHAnsi" w:eastAsiaTheme="minorEastAsia" w:hAnsiTheme="minorHAnsi"/>
                <w:noProof/>
                <w:szCs w:val="21"/>
                <w:lang w:eastAsia="en-IN" w:bidi="hi-IN"/>
              </w:rPr>
              <w:tab/>
            </w:r>
            <w:r w:rsidRPr="00A14564">
              <w:rPr>
                <w:rStyle w:val="Hyperlink"/>
                <w:noProof/>
              </w:rPr>
              <w:t>Critical Evaluation of Documentation</w:t>
            </w:r>
            <w:r>
              <w:rPr>
                <w:noProof/>
                <w:webHidden/>
              </w:rPr>
              <w:tab/>
            </w:r>
            <w:r>
              <w:rPr>
                <w:noProof/>
                <w:webHidden/>
              </w:rPr>
              <w:fldChar w:fldCharType="begin"/>
            </w:r>
            <w:r>
              <w:rPr>
                <w:noProof/>
                <w:webHidden/>
              </w:rPr>
              <w:instrText xml:space="preserve"> PAGEREF _Toc240105951 \h </w:instrText>
            </w:r>
            <w:r>
              <w:rPr>
                <w:noProof/>
                <w:webHidden/>
              </w:rPr>
            </w:r>
            <w:r>
              <w:rPr>
                <w:noProof/>
                <w:webHidden/>
              </w:rPr>
              <w:fldChar w:fldCharType="separate"/>
            </w:r>
            <w:r>
              <w:rPr>
                <w:noProof/>
                <w:webHidden/>
              </w:rPr>
              <w:t>16</w:t>
            </w:r>
            <w:r>
              <w:rPr>
                <w:noProof/>
                <w:webHidden/>
              </w:rPr>
              <w:fldChar w:fldCharType="end"/>
            </w:r>
          </w:hyperlink>
        </w:p>
        <w:p w14:paraId="29B5F32C" w14:textId="3177B867" w:rsidR="006A2A4E" w:rsidRDefault="006A2A4E">
          <w:pPr>
            <w:pStyle w:val="TOC1"/>
            <w:tabs>
              <w:tab w:val="left" w:pos="480"/>
              <w:tab w:val="right" w:leader="dot" w:pos="9016"/>
            </w:tabs>
            <w:rPr>
              <w:rFonts w:asciiTheme="minorHAnsi" w:eastAsiaTheme="minorEastAsia" w:hAnsiTheme="minorHAnsi"/>
              <w:noProof/>
              <w:szCs w:val="21"/>
              <w:lang w:eastAsia="en-IN" w:bidi="hi-IN"/>
            </w:rPr>
          </w:pPr>
          <w:hyperlink w:anchor="_Toc240105952" w:history="1">
            <w:r w:rsidRPr="00A14564">
              <w:rPr>
                <w:rStyle w:val="Hyperlink"/>
                <w:noProof/>
              </w:rPr>
              <w:t>5.</w:t>
            </w:r>
            <w:r>
              <w:rPr>
                <w:rFonts w:asciiTheme="minorHAnsi" w:eastAsiaTheme="minorEastAsia" w:hAnsiTheme="minorHAnsi"/>
                <w:noProof/>
                <w:szCs w:val="21"/>
                <w:lang w:eastAsia="en-IN" w:bidi="hi-IN"/>
              </w:rPr>
              <w:tab/>
            </w:r>
            <w:r w:rsidRPr="00A14564">
              <w:rPr>
                <w:rStyle w:val="Hyperlink"/>
                <w:noProof/>
              </w:rPr>
              <w:t>Conclusion</w:t>
            </w:r>
            <w:r>
              <w:rPr>
                <w:noProof/>
                <w:webHidden/>
              </w:rPr>
              <w:tab/>
            </w:r>
            <w:r>
              <w:rPr>
                <w:noProof/>
                <w:webHidden/>
              </w:rPr>
              <w:fldChar w:fldCharType="begin"/>
            </w:r>
            <w:r>
              <w:rPr>
                <w:noProof/>
                <w:webHidden/>
              </w:rPr>
              <w:instrText xml:space="preserve"> PAGEREF _Toc240105952 \h </w:instrText>
            </w:r>
            <w:r>
              <w:rPr>
                <w:noProof/>
                <w:webHidden/>
              </w:rPr>
            </w:r>
            <w:r>
              <w:rPr>
                <w:noProof/>
                <w:webHidden/>
              </w:rPr>
              <w:fldChar w:fldCharType="separate"/>
            </w:r>
            <w:r>
              <w:rPr>
                <w:noProof/>
                <w:webHidden/>
              </w:rPr>
              <w:t>18</w:t>
            </w:r>
            <w:r>
              <w:rPr>
                <w:noProof/>
                <w:webHidden/>
              </w:rPr>
              <w:fldChar w:fldCharType="end"/>
            </w:r>
          </w:hyperlink>
        </w:p>
        <w:p w14:paraId="443EB23B" w14:textId="2724E882" w:rsidR="006A2A4E" w:rsidRDefault="006A2A4E">
          <w:pPr>
            <w:pStyle w:val="TOC1"/>
            <w:tabs>
              <w:tab w:val="right" w:leader="dot" w:pos="9016"/>
            </w:tabs>
            <w:rPr>
              <w:rFonts w:asciiTheme="minorHAnsi" w:eastAsiaTheme="minorEastAsia" w:hAnsiTheme="minorHAnsi"/>
              <w:noProof/>
              <w:szCs w:val="21"/>
              <w:lang w:eastAsia="en-IN" w:bidi="hi-IN"/>
            </w:rPr>
          </w:pPr>
          <w:hyperlink w:anchor="_Toc240105953" w:history="1">
            <w:r w:rsidRPr="00A14564">
              <w:rPr>
                <w:rStyle w:val="Hyperlink"/>
                <w:noProof/>
              </w:rPr>
              <w:t>References</w:t>
            </w:r>
            <w:r>
              <w:rPr>
                <w:noProof/>
                <w:webHidden/>
              </w:rPr>
              <w:tab/>
            </w:r>
            <w:r>
              <w:rPr>
                <w:noProof/>
                <w:webHidden/>
              </w:rPr>
              <w:fldChar w:fldCharType="begin"/>
            </w:r>
            <w:r>
              <w:rPr>
                <w:noProof/>
                <w:webHidden/>
              </w:rPr>
              <w:instrText xml:space="preserve"> PAGEREF _Toc240105953 \h </w:instrText>
            </w:r>
            <w:r>
              <w:rPr>
                <w:noProof/>
                <w:webHidden/>
              </w:rPr>
            </w:r>
            <w:r>
              <w:rPr>
                <w:noProof/>
                <w:webHidden/>
              </w:rPr>
              <w:fldChar w:fldCharType="separate"/>
            </w:r>
            <w:r>
              <w:rPr>
                <w:noProof/>
                <w:webHidden/>
              </w:rPr>
              <w:t>19</w:t>
            </w:r>
            <w:r>
              <w:rPr>
                <w:noProof/>
                <w:webHidden/>
              </w:rPr>
              <w:fldChar w:fldCharType="end"/>
            </w:r>
          </w:hyperlink>
        </w:p>
        <w:p w14:paraId="4BB8948F" w14:textId="344853B5" w:rsidR="003B0A18" w:rsidRDefault="003B0A18" w:rsidP="003B0A18">
          <w:r>
            <w:rPr>
              <w:b/>
              <w:bCs/>
              <w:lang w:val="en-GB"/>
            </w:rPr>
            <w:fldChar w:fldCharType="end"/>
          </w:r>
        </w:p>
      </w:sdtContent>
    </w:sdt>
    <w:p w14:paraId="00FF9F32" w14:textId="77777777" w:rsidR="00BF3948" w:rsidRDefault="00BF3948" w:rsidP="003B0A18">
      <w:pPr>
        <w:spacing w:before="0" w:after="160"/>
        <w:jc w:val="left"/>
        <w:rPr>
          <w:rFonts w:eastAsia="SimSun" w:cs="Times New Roman"/>
          <w:b/>
          <w:bCs/>
          <w:noProof/>
          <w:kern w:val="0"/>
          <w:sz w:val="28"/>
          <w:szCs w:val="28"/>
          <w14:ligatures w14:val="none"/>
        </w:rPr>
      </w:pPr>
      <w:r>
        <w:br w:type="page"/>
      </w:r>
    </w:p>
    <w:p w14:paraId="48112FF9" w14:textId="6D98263B" w:rsidR="00E30F4A" w:rsidRDefault="0083455F" w:rsidP="003B0A18">
      <w:pPr>
        <w:pStyle w:val="Heading1"/>
      </w:pPr>
      <w:bookmarkStart w:id="0" w:name="_Toc240105940"/>
      <w:r w:rsidRPr="0083455F">
        <w:lastRenderedPageBreak/>
        <w:t>Introduction and Overview of the Business Idea</w:t>
      </w:r>
      <w:bookmarkEnd w:id="0"/>
    </w:p>
    <w:p w14:paraId="304B99EE" w14:textId="699ABEEC" w:rsidR="0083455F" w:rsidRPr="0083455F" w:rsidRDefault="00A261C3" w:rsidP="003B0A18">
      <w:r w:rsidRPr="00A261C3">
        <w:t>The Cake &amp; Crumb Co. UK is a small bakery business that will focus on celebration cakes, cupcakes</w:t>
      </w:r>
      <w:r w:rsidR="005D3690">
        <w:t>,</w:t>
      </w:r>
      <w:r w:rsidRPr="00A261C3">
        <w:t xml:space="preserve"> and bakery boxes. Online pre-orders and local collection/delivery. The company will focus on providing customers with convenient, custom-made products to celebrate birthdays, special occasions, and everyday events. The value proposition is that it brings together the concept of made-to-order bakery products and digital ordering, allowing for the selection of products, the detailing of requirements</w:t>
      </w:r>
      <w:r w:rsidR="005D3690">
        <w:t>,</w:t>
      </w:r>
      <w:r w:rsidRPr="00A261C3">
        <w:t xml:space="preserve"> and the convenient fulfilment. The business needs £90,000 in start-up funding in the form of £20,000 from </w:t>
      </w:r>
      <w:r w:rsidR="005D3690">
        <w:t xml:space="preserve">the </w:t>
      </w:r>
      <w:r w:rsidRPr="00A261C3">
        <w:t xml:space="preserve">founder's savings, </w:t>
      </w:r>
      <w:r w:rsidR="005D3690">
        <w:t xml:space="preserve">a </w:t>
      </w:r>
      <w:r w:rsidRPr="00A261C3">
        <w:t xml:space="preserve">£30,000 </w:t>
      </w:r>
      <w:r w:rsidR="005D3690">
        <w:t>start-up</w:t>
      </w:r>
      <w:r w:rsidRPr="00A261C3">
        <w:t xml:space="preserve"> loan</w:t>
      </w:r>
      <w:r w:rsidR="005D3690">
        <w:t>,</w:t>
      </w:r>
      <w:r w:rsidRPr="00A261C3">
        <w:t xml:space="preserve"> and £40,000 from angel equity. This will be used for commercial bakery equipment, premises </w:t>
      </w:r>
      <w:r w:rsidR="005D3690">
        <w:t>fit-out</w:t>
      </w:r>
      <w:r w:rsidRPr="00A261C3">
        <w:t>, initial ingredients and packaging, website development, marketing, compliance</w:t>
      </w:r>
      <w:r w:rsidR="005D3690">
        <w:t>,</w:t>
      </w:r>
      <w:r w:rsidRPr="00A261C3">
        <w:t xml:space="preserve"> and a working capital reserve of £20,000. The financial model forecasts revenue of £162,000 in Year 1, increasing by 25% annually to £202,500 in Year 2 and £253,125 in Year 3. This report evaluates whether the proposed venture is financially and legally viable. It compares funding, revenue, costs, profitability, cash flow</w:t>
      </w:r>
      <w:r w:rsidR="005D3690">
        <w:t>,</w:t>
      </w:r>
      <w:r w:rsidRPr="00A261C3">
        <w:t xml:space="preserve"> and quantified best, base</w:t>
      </w:r>
      <w:r w:rsidR="005D3690">
        <w:t>,</w:t>
      </w:r>
      <w:r w:rsidRPr="00A261C3">
        <w:t xml:space="preserve"> and </w:t>
      </w:r>
      <w:r w:rsidR="005D3690">
        <w:t>worst-case</w:t>
      </w:r>
      <w:r w:rsidRPr="00A261C3">
        <w:t xml:space="preserve"> scenarios.</w:t>
      </w:r>
    </w:p>
    <w:p w14:paraId="58413DB0" w14:textId="6073ABF1" w:rsidR="0083455F" w:rsidRDefault="0083455F" w:rsidP="003B0A18">
      <w:pPr>
        <w:pStyle w:val="Heading1"/>
      </w:pPr>
      <w:bookmarkStart w:id="1" w:name="_Toc240105941"/>
      <w:r w:rsidRPr="0083455F">
        <w:t>Financial Viability Assessment</w:t>
      </w:r>
      <w:bookmarkEnd w:id="1"/>
    </w:p>
    <w:p w14:paraId="23B5D5F6" w14:textId="2CE70BA2" w:rsidR="0083455F" w:rsidRDefault="0083455F" w:rsidP="003B0A18">
      <w:pPr>
        <w:pStyle w:val="Heading2"/>
        <w:numPr>
          <w:ilvl w:val="1"/>
          <w:numId w:val="3"/>
        </w:numPr>
      </w:pPr>
      <w:bookmarkStart w:id="2" w:name="_Toc240105942"/>
      <w:r>
        <w:t>Funding Sources and Allocation</w:t>
      </w:r>
      <w:bookmarkEnd w:id="2"/>
    </w:p>
    <w:p w14:paraId="725A7B89" w14:textId="29B320D0" w:rsidR="00A261C3" w:rsidRDefault="00A261C3" w:rsidP="00A261C3">
      <w:r>
        <w:t>The Cake &amp; Crumb Co. UK needs £90,000 in start-up funds, consisting of a mix of founder contribution and external debt and equity funds. The proposed funding structure is a combination of founder savings of £20,000, a start-up loan amount of £30,000</w:t>
      </w:r>
      <w:r w:rsidR="005D3690">
        <w:t>,</w:t>
      </w:r>
      <w:r>
        <w:t xml:space="preserve"> and angel equity of £40,000. This will cut down on the reliance on </w:t>
      </w:r>
      <w:r w:rsidR="00634A13">
        <w:t>a</w:t>
      </w:r>
      <w:r>
        <w:t xml:space="preserve"> single financing source and will show that the founder has put some of his own capital into the business</w:t>
      </w:r>
      <w:r w:rsidR="00634A13">
        <w:t xml:space="preserve"> (Lopes, 2025)</w:t>
      </w:r>
      <w:r>
        <w:t>. The founder contribution also gives them an initial risk-bearing investment</w:t>
      </w:r>
      <w:r w:rsidR="005D3690">
        <w:t>,</w:t>
      </w:r>
      <w:r>
        <w:t xml:space="preserve"> and the loan adds a fixed obligation to pay back, thereby putting pressure on cash flow in the initial trading stage. Angel equity is not a repayment model, but can dilute founder ownership and control. Therefore, the equity arrangement should be clearly written, including: Share ownership; Voting rights; Rights of investors; Rights to exit; Before accepting any funds.</w:t>
      </w:r>
    </w:p>
    <w:p w14:paraId="26ABF0FC" w14:textId="110BFAE2" w:rsidR="005D3690" w:rsidRPr="005D3690" w:rsidRDefault="005D3690" w:rsidP="005D3690">
      <w:pPr>
        <w:jc w:val="center"/>
        <w:rPr>
          <w:b/>
          <w:bCs/>
        </w:rPr>
      </w:pPr>
      <w:r>
        <w:rPr>
          <w:b/>
          <w:bCs/>
        </w:rPr>
        <w:t>Table 1. Sources of Funding</w:t>
      </w:r>
    </w:p>
    <w:tbl>
      <w:tblPr>
        <w:tblStyle w:val="TableGrid"/>
        <w:tblW w:w="5000" w:type="pct"/>
        <w:jc w:val="center"/>
        <w:tblLook w:val="04A0" w:firstRow="1" w:lastRow="0" w:firstColumn="1" w:lastColumn="0" w:noHBand="0" w:noVBand="1"/>
      </w:tblPr>
      <w:tblGrid>
        <w:gridCol w:w="6481"/>
        <w:gridCol w:w="2535"/>
      </w:tblGrid>
      <w:tr w:rsidR="005D3690" w:rsidRPr="005D3690" w14:paraId="72256159" w14:textId="77777777" w:rsidTr="005D3690">
        <w:trPr>
          <w:jc w:val="center"/>
        </w:trPr>
        <w:tc>
          <w:tcPr>
            <w:tcW w:w="3594" w:type="pct"/>
            <w:vAlign w:val="center"/>
            <w:hideMark/>
          </w:tcPr>
          <w:p w14:paraId="36C0829C" w14:textId="77777777" w:rsidR="005D3690" w:rsidRPr="005D3690" w:rsidRDefault="005D3690" w:rsidP="005D3690">
            <w:pPr>
              <w:jc w:val="center"/>
              <w:rPr>
                <w:b/>
                <w:bCs/>
              </w:rPr>
            </w:pPr>
            <w:r w:rsidRPr="005D3690">
              <w:rPr>
                <w:b/>
                <w:bCs/>
              </w:rPr>
              <w:lastRenderedPageBreak/>
              <w:t>Start-up use</w:t>
            </w:r>
          </w:p>
        </w:tc>
        <w:tc>
          <w:tcPr>
            <w:tcW w:w="1406" w:type="pct"/>
            <w:vAlign w:val="center"/>
            <w:hideMark/>
          </w:tcPr>
          <w:p w14:paraId="125F6EAB" w14:textId="77777777" w:rsidR="005D3690" w:rsidRPr="005D3690" w:rsidRDefault="005D3690" w:rsidP="005D3690">
            <w:pPr>
              <w:jc w:val="center"/>
              <w:rPr>
                <w:b/>
                <w:bCs/>
              </w:rPr>
            </w:pPr>
            <w:r w:rsidRPr="005D3690">
              <w:rPr>
                <w:b/>
                <w:bCs/>
              </w:rPr>
              <w:t>Amount (£)</w:t>
            </w:r>
          </w:p>
        </w:tc>
      </w:tr>
      <w:tr w:rsidR="005D3690" w:rsidRPr="005D3690" w14:paraId="1D0463BD" w14:textId="77777777" w:rsidTr="005D3690">
        <w:trPr>
          <w:jc w:val="center"/>
        </w:trPr>
        <w:tc>
          <w:tcPr>
            <w:tcW w:w="3594" w:type="pct"/>
            <w:vAlign w:val="center"/>
            <w:hideMark/>
          </w:tcPr>
          <w:p w14:paraId="1F147B43" w14:textId="77777777" w:rsidR="005D3690" w:rsidRPr="005D3690" w:rsidRDefault="005D3690" w:rsidP="005D3690">
            <w:pPr>
              <w:jc w:val="center"/>
            </w:pPr>
            <w:r w:rsidRPr="005D3690">
              <w:t>Commercial bakery equipment</w:t>
            </w:r>
          </w:p>
        </w:tc>
        <w:tc>
          <w:tcPr>
            <w:tcW w:w="1406" w:type="pct"/>
            <w:vAlign w:val="center"/>
            <w:hideMark/>
          </w:tcPr>
          <w:p w14:paraId="6FC96A6A" w14:textId="77777777" w:rsidR="005D3690" w:rsidRPr="005D3690" w:rsidRDefault="005D3690" w:rsidP="005D3690">
            <w:pPr>
              <w:jc w:val="center"/>
            </w:pPr>
            <w:r w:rsidRPr="005D3690">
              <w:t>18,000</w:t>
            </w:r>
          </w:p>
        </w:tc>
      </w:tr>
      <w:tr w:rsidR="005D3690" w:rsidRPr="005D3690" w14:paraId="11A0244E" w14:textId="77777777" w:rsidTr="005D3690">
        <w:trPr>
          <w:jc w:val="center"/>
        </w:trPr>
        <w:tc>
          <w:tcPr>
            <w:tcW w:w="3594" w:type="pct"/>
            <w:vAlign w:val="center"/>
            <w:hideMark/>
          </w:tcPr>
          <w:p w14:paraId="4C730D9F" w14:textId="77777777" w:rsidR="005D3690" w:rsidRPr="005D3690" w:rsidRDefault="005D3690" w:rsidP="005D3690">
            <w:pPr>
              <w:jc w:val="center"/>
            </w:pPr>
            <w:r w:rsidRPr="005D3690">
              <w:t>Premises fit-out</w:t>
            </w:r>
          </w:p>
        </w:tc>
        <w:tc>
          <w:tcPr>
            <w:tcW w:w="1406" w:type="pct"/>
            <w:vAlign w:val="center"/>
            <w:hideMark/>
          </w:tcPr>
          <w:p w14:paraId="74DE5CEF" w14:textId="77777777" w:rsidR="005D3690" w:rsidRPr="005D3690" w:rsidRDefault="005D3690" w:rsidP="005D3690">
            <w:pPr>
              <w:jc w:val="center"/>
            </w:pPr>
            <w:r w:rsidRPr="005D3690">
              <w:t>12,000</w:t>
            </w:r>
          </w:p>
        </w:tc>
      </w:tr>
      <w:tr w:rsidR="005D3690" w:rsidRPr="005D3690" w14:paraId="2CA7EBB7" w14:textId="77777777" w:rsidTr="005D3690">
        <w:trPr>
          <w:jc w:val="center"/>
        </w:trPr>
        <w:tc>
          <w:tcPr>
            <w:tcW w:w="3594" w:type="pct"/>
            <w:vAlign w:val="center"/>
            <w:hideMark/>
          </w:tcPr>
          <w:p w14:paraId="479D71F8" w14:textId="77777777" w:rsidR="005D3690" w:rsidRPr="005D3690" w:rsidRDefault="005D3690" w:rsidP="005D3690">
            <w:pPr>
              <w:jc w:val="center"/>
            </w:pPr>
            <w:r w:rsidRPr="005D3690">
              <w:t>Initial ingredients &amp; packaging</w:t>
            </w:r>
          </w:p>
        </w:tc>
        <w:tc>
          <w:tcPr>
            <w:tcW w:w="1406" w:type="pct"/>
            <w:vAlign w:val="center"/>
            <w:hideMark/>
          </w:tcPr>
          <w:p w14:paraId="7E2A0251" w14:textId="77777777" w:rsidR="005D3690" w:rsidRPr="005D3690" w:rsidRDefault="005D3690" w:rsidP="005D3690">
            <w:pPr>
              <w:jc w:val="center"/>
            </w:pPr>
            <w:r w:rsidRPr="005D3690">
              <w:t>7,000</w:t>
            </w:r>
          </w:p>
        </w:tc>
      </w:tr>
      <w:tr w:rsidR="005D3690" w:rsidRPr="005D3690" w14:paraId="6C9EA7C1" w14:textId="77777777" w:rsidTr="005D3690">
        <w:trPr>
          <w:jc w:val="center"/>
        </w:trPr>
        <w:tc>
          <w:tcPr>
            <w:tcW w:w="3594" w:type="pct"/>
            <w:vAlign w:val="center"/>
            <w:hideMark/>
          </w:tcPr>
          <w:p w14:paraId="410AA2EC" w14:textId="77777777" w:rsidR="005D3690" w:rsidRPr="005D3690" w:rsidRDefault="005D3690" w:rsidP="005D3690">
            <w:pPr>
              <w:jc w:val="center"/>
            </w:pPr>
            <w:r w:rsidRPr="005D3690">
              <w:t>Licences, legal &amp; food compliance</w:t>
            </w:r>
          </w:p>
        </w:tc>
        <w:tc>
          <w:tcPr>
            <w:tcW w:w="1406" w:type="pct"/>
            <w:vAlign w:val="center"/>
            <w:hideMark/>
          </w:tcPr>
          <w:p w14:paraId="50191099" w14:textId="77777777" w:rsidR="005D3690" w:rsidRPr="005D3690" w:rsidRDefault="005D3690" w:rsidP="005D3690">
            <w:pPr>
              <w:jc w:val="center"/>
            </w:pPr>
            <w:r w:rsidRPr="005D3690">
              <w:t>4,000</w:t>
            </w:r>
          </w:p>
        </w:tc>
      </w:tr>
      <w:tr w:rsidR="005D3690" w:rsidRPr="005D3690" w14:paraId="0892DCEB" w14:textId="77777777" w:rsidTr="005D3690">
        <w:trPr>
          <w:jc w:val="center"/>
        </w:trPr>
        <w:tc>
          <w:tcPr>
            <w:tcW w:w="3594" w:type="pct"/>
            <w:vAlign w:val="center"/>
            <w:hideMark/>
          </w:tcPr>
          <w:p w14:paraId="1D967FB7" w14:textId="77777777" w:rsidR="005D3690" w:rsidRPr="005D3690" w:rsidRDefault="005D3690" w:rsidP="005D3690">
            <w:pPr>
              <w:jc w:val="center"/>
            </w:pPr>
            <w:r w:rsidRPr="005D3690">
              <w:t>Branding &amp; launch marketing</w:t>
            </w:r>
          </w:p>
        </w:tc>
        <w:tc>
          <w:tcPr>
            <w:tcW w:w="1406" w:type="pct"/>
            <w:vAlign w:val="center"/>
            <w:hideMark/>
          </w:tcPr>
          <w:p w14:paraId="31AE58D6" w14:textId="77777777" w:rsidR="005D3690" w:rsidRPr="005D3690" w:rsidRDefault="005D3690" w:rsidP="005D3690">
            <w:pPr>
              <w:jc w:val="center"/>
            </w:pPr>
            <w:r w:rsidRPr="005D3690">
              <w:t>7,000</w:t>
            </w:r>
          </w:p>
        </w:tc>
      </w:tr>
      <w:tr w:rsidR="005D3690" w:rsidRPr="005D3690" w14:paraId="2D1F3377" w14:textId="77777777" w:rsidTr="005D3690">
        <w:trPr>
          <w:jc w:val="center"/>
        </w:trPr>
        <w:tc>
          <w:tcPr>
            <w:tcW w:w="3594" w:type="pct"/>
            <w:vAlign w:val="center"/>
            <w:hideMark/>
          </w:tcPr>
          <w:p w14:paraId="0531C851" w14:textId="77777777" w:rsidR="005D3690" w:rsidRPr="005D3690" w:rsidRDefault="005D3690" w:rsidP="005D3690">
            <w:pPr>
              <w:jc w:val="center"/>
            </w:pPr>
            <w:r w:rsidRPr="005D3690">
              <w:t>Working-capital reserve</w:t>
            </w:r>
          </w:p>
        </w:tc>
        <w:tc>
          <w:tcPr>
            <w:tcW w:w="1406" w:type="pct"/>
            <w:vAlign w:val="center"/>
            <w:hideMark/>
          </w:tcPr>
          <w:p w14:paraId="61DE6D97" w14:textId="77777777" w:rsidR="005D3690" w:rsidRPr="005D3690" w:rsidRDefault="005D3690" w:rsidP="005D3690">
            <w:pPr>
              <w:jc w:val="center"/>
            </w:pPr>
            <w:r w:rsidRPr="005D3690">
              <w:t>20,000</w:t>
            </w:r>
          </w:p>
        </w:tc>
      </w:tr>
      <w:tr w:rsidR="005D3690" w:rsidRPr="005D3690" w14:paraId="0946840E" w14:textId="77777777" w:rsidTr="005D3690">
        <w:trPr>
          <w:jc w:val="center"/>
        </w:trPr>
        <w:tc>
          <w:tcPr>
            <w:tcW w:w="3594" w:type="pct"/>
            <w:vAlign w:val="center"/>
            <w:hideMark/>
          </w:tcPr>
          <w:p w14:paraId="21062E81" w14:textId="77777777" w:rsidR="005D3690" w:rsidRPr="005D3690" w:rsidRDefault="005D3690" w:rsidP="005D3690">
            <w:pPr>
              <w:jc w:val="center"/>
            </w:pPr>
            <w:r w:rsidRPr="005D3690">
              <w:t>Pre-launch salaries/training</w:t>
            </w:r>
          </w:p>
        </w:tc>
        <w:tc>
          <w:tcPr>
            <w:tcW w:w="1406" w:type="pct"/>
            <w:vAlign w:val="center"/>
            <w:hideMark/>
          </w:tcPr>
          <w:p w14:paraId="0532CF47" w14:textId="77777777" w:rsidR="005D3690" w:rsidRPr="005D3690" w:rsidRDefault="005D3690" w:rsidP="005D3690">
            <w:pPr>
              <w:jc w:val="center"/>
            </w:pPr>
            <w:r w:rsidRPr="005D3690">
              <w:t>4,000</w:t>
            </w:r>
          </w:p>
        </w:tc>
      </w:tr>
      <w:tr w:rsidR="005D3690" w:rsidRPr="005D3690" w14:paraId="41B4D645" w14:textId="77777777" w:rsidTr="005D3690">
        <w:trPr>
          <w:jc w:val="center"/>
        </w:trPr>
        <w:tc>
          <w:tcPr>
            <w:tcW w:w="3594" w:type="pct"/>
            <w:vAlign w:val="center"/>
            <w:hideMark/>
          </w:tcPr>
          <w:p w14:paraId="7144B578" w14:textId="77777777" w:rsidR="005D3690" w:rsidRPr="005D3690" w:rsidRDefault="005D3690" w:rsidP="005D3690">
            <w:pPr>
              <w:jc w:val="center"/>
            </w:pPr>
            <w:r w:rsidRPr="005D3690">
              <w:t>Website &amp; e-commerce</w:t>
            </w:r>
          </w:p>
        </w:tc>
        <w:tc>
          <w:tcPr>
            <w:tcW w:w="1406" w:type="pct"/>
            <w:vAlign w:val="center"/>
            <w:hideMark/>
          </w:tcPr>
          <w:p w14:paraId="73F2B91F" w14:textId="77777777" w:rsidR="005D3690" w:rsidRPr="005D3690" w:rsidRDefault="005D3690" w:rsidP="005D3690">
            <w:pPr>
              <w:jc w:val="center"/>
            </w:pPr>
            <w:r w:rsidRPr="005D3690">
              <w:t>8,000</w:t>
            </w:r>
          </w:p>
        </w:tc>
      </w:tr>
      <w:tr w:rsidR="005D3690" w:rsidRPr="005D3690" w14:paraId="430C5676" w14:textId="77777777" w:rsidTr="005D3690">
        <w:trPr>
          <w:jc w:val="center"/>
        </w:trPr>
        <w:tc>
          <w:tcPr>
            <w:tcW w:w="3594" w:type="pct"/>
            <w:vAlign w:val="center"/>
            <w:hideMark/>
          </w:tcPr>
          <w:p w14:paraId="518CE038" w14:textId="53B6AE12" w:rsidR="005D3690" w:rsidRPr="005D3690" w:rsidRDefault="005D3690" w:rsidP="005D3690">
            <w:pPr>
              <w:jc w:val="center"/>
            </w:pPr>
            <w:r w:rsidRPr="005D3690">
              <w:t xml:space="preserve">Delivery &amp; logistics </w:t>
            </w:r>
            <w:r>
              <w:t>setup</w:t>
            </w:r>
          </w:p>
        </w:tc>
        <w:tc>
          <w:tcPr>
            <w:tcW w:w="1406" w:type="pct"/>
            <w:vAlign w:val="center"/>
            <w:hideMark/>
          </w:tcPr>
          <w:p w14:paraId="2482A54E" w14:textId="77777777" w:rsidR="005D3690" w:rsidRPr="005D3690" w:rsidRDefault="005D3690" w:rsidP="005D3690">
            <w:pPr>
              <w:jc w:val="center"/>
            </w:pPr>
            <w:r w:rsidRPr="005D3690">
              <w:t>8,000</w:t>
            </w:r>
          </w:p>
        </w:tc>
      </w:tr>
      <w:tr w:rsidR="005D3690" w:rsidRPr="005D3690" w14:paraId="37AC4820" w14:textId="77777777" w:rsidTr="005D3690">
        <w:trPr>
          <w:jc w:val="center"/>
        </w:trPr>
        <w:tc>
          <w:tcPr>
            <w:tcW w:w="3594" w:type="pct"/>
            <w:vAlign w:val="center"/>
            <w:hideMark/>
          </w:tcPr>
          <w:p w14:paraId="4B5DBE64" w14:textId="77777777" w:rsidR="005D3690" w:rsidRPr="005D3690" w:rsidRDefault="005D3690" w:rsidP="005D3690">
            <w:pPr>
              <w:jc w:val="center"/>
            </w:pPr>
            <w:r w:rsidRPr="005D3690">
              <w:t>POS/software/IT</w:t>
            </w:r>
          </w:p>
        </w:tc>
        <w:tc>
          <w:tcPr>
            <w:tcW w:w="1406" w:type="pct"/>
            <w:vAlign w:val="center"/>
            <w:hideMark/>
          </w:tcPr>
          <w:p w14:paraId="665DCDC7" w14:textId="77777777" w:rsidR="005D3690" w:rsidRPr="005D3690" w:rsidRDefault="005D3690" w:rsidP="005D3690">
            <w:pPr>
              <w:jc w:val="center"/>
            </w:pPr>
            <w:r w:rsidRPr="005D3690">
              <w:t>2,000</w:t>
            </w:r>
          </w:p>
        </w:tc>
      </w:tr>
      <w:tr w:rsidR="005D3690" w:rsidRPr="005D3690" w14:paraId="20C8D3F5" w14:textId="77777777" w:rsidTr="005D3690">
        <w:trPr>
          <w:jc w:val="center"/>
        </w:trPr>
        <w:tc>
          <w:tcPr>
            <w:tcW w:w="3594" w:type="pct"/>
            <w:vAlign w:val="center"/>
            <w:hideMark/>
          </w:tcPr>
          <w:p w14:paraId="6757BEA0" w14:textId="77777777" w:rsidR="005D3690" w:rsidRPr="005D3690" w:rsidRDefault="005D3690" w:rsidP="005D3690">
            <w:pPr>
              <w:jc w:val="center"/>
            </w:pPr>
            <w:r w:rsidRPr="005D3690">
              <w:rPr>
                <w:b/>
                <w:bCs/>
              </w:rPr>
              <w:t>Total</w:t>
            </w:r>
          </w:p>
        </w:tc>
        <w:tc>
          <w:tcPr>
            <w:tcW w:w="1406" w:type="pct"/>
            <w:vAlign w:val="center"/>
            <w:hideMark/>
          </w:tcPr>
          <w:p w14:paraId="2C38F983" w14:textId="77777777" w:rsidR="005D3690" w:rsidRPr="005D3690" w:rsidRDefault="005D3690" w:rsidP="005D3690">
            <w:pPr>
              <w:jc w:val="center"/>
            </w:pPr>
            <w:r w:rsidRPr="005D3690">
              <w:rPr>
                <w:b/>
                <w:bCs/>
              </w:rPr>
              <w:t>90,000</w:t>
            </w:r>
          </w:p>
        </w:tc>
      </w:tr>
    </w:tbl>
    <w:p w14:paraId="5819B8E4" w14:textId="77777777" w:rsidR="005D3690" w:rsidRDefault="005D3690" w:rsidP="00A261C3"/>
    <w:p w14:paraId="14421C4D" w14:textId="0EFD7D6C" w:rsidR="00A261C3" w:rsidRDefault="00A261C3" w:rsidP="00A261C3">
      <w:r>
        <w:t>The £30,000 loan is at 8% over three years, and monthly repayments have been taken into account within the financial model. Debt becomes a relatively fixed ratio, but also a problem of financial risk</w:t>
      </w:r>
      <w:r w:rsidR="00634A13">
        <w:t>,</w:t>
      </w:r>
      <w:r>
        <w:t xml:space="preserve"> as it continues to be paid even if monthly profits aren't generated. Angel investors, on the other hand, share the risk of </w:t>
      </w:r>
      <w:r w:rsidR="005D3690">
        <w:t xml:space="preserve">the </w:t>
      </w:r>
      <w:r>
        <w:t xml:space="preserve">business and cause </w:t>
      </w:r>
      <w:r w:rsidR="005D3690">
        <w:t xml:space="preserve">a </w:t>
      </w:r>
      <w:r>
        <w:t xml:space="preserve">dilutive effect. Unlike other sources of financing, the cost of founder savings is zero, but they are considered to be personal capital at risk. Other sources of finance, such as further borrowing from banks or </w:t>
      </w:r>
      <w:r w:rsidR="005D3690">
        <w:t>crowdfunding,</w:t>
      </w:r>
      <w:r>
        <w:t xml:space="preserve"> were not chosen as there is a risk that further borrowing would put pressure on </w:t>
      </w:r>
      <w:r>
        <w:lastRenderedPageBreak/>
        <w:t xml:space="preserve">repayments, and </w:t>
      </w:r>
      <w:r w:rsidR="005D3690">
        <w:t>crowdfunding</w:t>
      </w:r>
      <w:r>
        <w:t xml:space="preserve"> would need a significant amount of campaigning and might not be suitable for a start-up with a local focus.</w:t>
      </w:r>
    </w:p>
    <w:p w14:paraId="5F9B0CD5" w14:textId="3630C293" w:rsidR="0016127E" w:rsidRDefault="0016127E" w:rsidP="0016127E">
      <w:pPr>
        <w:jc w:val="center"/>
      </w:pPr>
      <w:r>
        <w:rPr>
          <w:noProof/>
        </w:rPr>
        <w:drawing>
          <wp:inline distT="0" distB="0" distL="0" distR="0" wp14:anchorId="03629903" wp14:editId="3A2AADF9">
            <wp:extent cx="5050937" cy="3259186"/>
            <wp:effectExtent l="0" t="0" r="0" b="0"/>
            <wp:docPr id="203377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789" cy="3263607"/>
                    </a:xfrm>
                    <a:prstGeom prst="rect">
                      <a:avLst/>
                    </a:prstGeom>
                    <a:noFill/>
                  </pic:spPr>
                </pic:pic>
              </a:graphicData>
            </a:graphic>
          </wp:inline>
        </w:drawing>
      </w:r>
    </w:p>
    <w:p w14:paraId="2C8F25E4" w14:textId="1F1A36D3" w:rsidR="0016127E" w:rsidRDefault="0016127E" w:rsidP="0016127E">
      <w:pPr>
        <w:jc w:val="center"/>
        <w:rPr>
          <w:b/>
          <w:bCs/>
        </w:rPr>
      </w:pPr>
      <w:r>
        <w:rPr>
          <w:b/>
          <w:bCs/>
        </w:rPr>
        <w:t>Fig. 1. Source of Start-up Finance</w:t>
      </w:r>
    </w:p>
    <w:p w14:paraId="1DA49558" w14:textId="13D72368" w:rsidR="0016127E" w:rsidRPr="0016127E" w:rsidRDefault="0016127E" w:rsidP="0016127E">
      <w:pPr>
        <w:jc w:val="center"/>
      </w:pPr>
      <w:r>
        <w:t>(Source: Generated in Excel)</w:t>
      </w:r>
    </w:p>
    <w:p w14:paraId="41076645" w14:textId="13E2D5C7" w:rsidR="0083455F" w:rsidRDefault="00A261C3" w:rsidP="00A261C3">
      <w:r>
        <w:t>The funds are committed, with £18,000 going to the commercial bakery equipment, £12,000 to premises fit-out, £7,000 to initial ingredients and packaging, £4,000 to licences, legal and food compliance, £7,000 for the branding and launch marketing, £4,000 for pre-launch salaries and training, £8,000 on the website and e-commerce system, £8,000 on delivery and logistics set-up, and £2,000 on POS, software and IT. An additional £20,000 is kept as working capital in case of trading losses in the early years and unforeseen expenditure.</w:t>
      </w:r>
    </w:p>
    <w:p w14:paraId="6DC5CDF7" w14:textId="1BA5DB84" w:rsidR="0083455F" w:rsidRDefault="0083455F" w:rsidP="003B0A18">
      <w:pPr>
        <w:pStyle w:val="Heading2"/>
        <w:numPr>
          <w:ilvl w:val="1"/>
          <w:numId w:val="3"/>
        </w:numPr>
      </w:pPr>
      <w:bookmarkStart w:id="3" w:name="_Toc240105943"/>
      <w:r>
        <w:t>Revenue Model and Cost Structure</w:t>
      </w:r>
      <w:bookmarkEnd w:id="3"/>
    </w:p>
    <w:p w14:paraId="3023A514" w14:textId="45457BC8" w:rsidR="00A261C3" w:rsidRDefault="00A261C3" w:rsidP="00A261C3">
      <w:r>
        <w:t xml:space="preserve">The revenue model </w:t>
      </w:r>
      <w:r w:rsidR="00BC22E1">
        <w:t xml:space="preserve">assumes an initial </w:t>
      </w:r>
      <w:r>
        <w:t>300 orders per month and an average order value of £45. Consequently, Year 1 revenue is calculated as £45 × 300 × 12 = £162,000. It is then predicted that revenue will rise by 25% each year in Year 2 and Year 3 and is expected to be £202,500 and £253,125</w:t>
      </w:r>
      <w:r w:rsidR="00BC22E1">
        <w:t>,</w:t>
      </w:r>
      <w:r>
        <w:t xml:space="preserve"> respectively. This offers a consistent growth trajectory and a direct connection to the volume/pricing assumption and the three-year forecast, instead of showing </w:t>
      </w:r>
      <w:r w:rsidR="005D3690">
        <w:t>unsupported revenue growth</w:t>
      </w:r>
      <w:r>
        <w:t>.</w:t>
      </w:r>
    </w:p>
    <w:p w14:paraId="2E298B51" w14:textId="24F2D103" w:rsidR="00BC22E1" w:rsidRPr="00BC22E1" w:rsidRDefault="00BC22E1" w:rsidP="00BC22E1">
      <w:pPr>
        <w:jc w:val="center"/>
        <w:rPr>
          <w:b/>
          <w:bCs/>
        </w:rPr>
      </w:pPr>
      <w:r>
        <w:rPr>
          <w:b/>
          <w:bCs/>
        </w:rPr>
        <w:lastRenderedPageBreak/>
        <w:t xml:space="preserve">Table 2. </w:t>
      </w:r>
      <w:r w:rsidRPr="00BC22E1">
        <w:rPr>
          <w:b/>
          <w:bCs/>
        </w:rPr>
        <w:t>Key Revenue and Cost Assumptions</w:t>
      </w:r>
    </w:p>
    <w:tbl>
      <w:tblPr>
        <w:tblStyle w:val="TableGrid"/>
        <w:tblW w:w="5000" w:type="pct"/>
        <w:jc w:val="center"/>
        <w:tblLook w:val="04A0" w:firstRow="1" w:lastRow="0" w:firstColumn="1" w:lastColumn="0" w:noHBand="0" w:noVBand="1"/>
      </w:tblPr>
      <w:tblGrid>
        <w:gridCol w:w="3736"/>
        <w:gridCol w:w="1760"/>
        <w:gridCol w:w="1760"/>
        <w:gridCol w:w="1760"/>
      </w:tblGrid>
      <w:tr w:rsidR="00BC22E1" w:rsidRPr="00BC22E1" w14:paraId="5F2465A1" w14:textId="77777777" w:rsidTr="00BC22E1">
        <w:trPr>
          <w:jc w:val="center"/>
        </w:trPr>
        <w:tc>
          <w:tcPr>
            <w:tcW w:w="2072" w:type="pct"/>
            <w:vAlign w:val="center"/>
            <w:hideMark/>
          </w:tcPr>
          <w:p w14:paraId="4ADFD52C" w14:textId="77777777" w:rsidR="00BC22E1" w:rsidRPr="00BC22E1" w:rsidRDefault="00BC22E1" w:rsidP="00BC22E1">
            <w:pPr>
              <w:jc w:val="center"/>
              <w:rPr>
                <w:b/>
                <w:bCs/>
              </w:rPr>
            </w:pPr>
            <w:r w:rsidRPr="00BC22E1">
              <w:rPr>
                <w:b/>
                <w:bCs/>
              </w:rPr>
              <w:t>Assumption</w:t>
            </w:r>
          </w:p>
        </w:tc>
        <w:tc>
          <w:tcPr>
            <w:tcW w:w="976" w:type="pct"/>
            <w:vAlign w:val="center"/>
            <w:hideMark/>
          </w:tcPr>
          <w:p w14:paraId="0801E602" w14:textId="77777777" w:rsidR="00BC22E1" w:rsidRPr="00BC22E1" w:rsidRDefault="00BC22E1" w:rsidP="00BC22E1">
            <w:pPr>
              <w:jc w:val="center"/>
              <w:rPr>
                <w:b/>
                <w:bCs/>
              </w:rPr>
            </w:pPr>
            <w:r w:rsidRPr="00BC22E1">
              <w:rPr>
                <w:b/>
                <w:bCs/>
              </w:rPr>
              <w:t>Year 1</w:t>
            </w:r>
          </w:p>
        </w:tc>
        <w:tc>
          <w:tcPr>
            <w:tcW w:w="976" w:type="pct"/>
            <w:vAlign w:val="center"/>
            <w:hideMark/>
          </w:tcPr>
          <w:p w14:paraId="4BE19937" w14:textId="77777777" w:rsidR="00BC22E1" w:rsidRPr="00BC22E1" w:rsidRDefault="00BC22E1" w:rsidP="00BC22E1">
            <w:pPr>
              <w:jc w:val="center"/>
              <w:rPr>
                <w:b/>
                <w:bCs/>
              </w:rPr>
            </w:pPr>
            <w:r w:rsidRPr="00BC22E1">
              <w:rPr>
                <w:b/>
                <w:bCs/>
              </w:rPr>
              <w:t>Year 2</w:t>
            </w:r>
          </w:p>
        </w:tc>
        <w:tc>
          <w:tcPr>
            <w:tcW w:w="976" w:type="pct"/>
            <w:vAlign w:val="center"/>
            <w:hideMark/>
          </w:tcPr>
          <w:p w14:paraId="28BFBF8E" w14:textId="77777777" w:rsidR="00BC22E1" w:rsidRPr="00BC22E1" w:rsidRDefault="00BC22E1" w:rsidP="00BC22E1">
            <w:pPr>
              <w:jc w:val="center"/>
              <w:rPr>
                <w:b/>
                <w:bCs/>
              </w:rPr>
            </w:pPr>
            <w:r w:rsidRPr="00BC22E1">
              <w:rPr>
                <w:b/>
                <w:bCs/>
              </w:rPr>
              <w:t>Year 3</w:t>
            </w:r>
          </w:p>
        </w:tc>
      </w:tr>
      <w:tr w:rsidR="00BC22E1" w:rsidRPr="00BC22E1" w14:paraId="36532F5E" w14:textId="77777777" w:rsidTr="00BC22E1">
        <w:trPr>
          <w:jc w:val="center"/>
        </w:trPr>
        <w:tc>
          <w:tcPr>
            <w:tcW w:w="2072" w:type="pct"/>
            <w:vAlign w:val="center"/>
            <w:hideMark/>
          </w:tcPr>
          <w:p w14:paraId="125BB06D" w14:textId="77777777" w:rsidR="00BC22E1" w:rsidRPr="00BC22E1" w:rsidRDefault="00BC22E1" w:rsidP="00BC22E1">
            <w:pPr>
              <w:jc w:val="center"/>
            </w:pPr>
            <w:r w:rsidRPr="00BC22E1">
              <w:t>Average price/order</w:t>
            </w:r>
          </w:p>
        </w:tc>
        <w:tc>
          <w:tcPr>
            <w:tcW w:w="976" w:type="pct"/>
            <w:vAlign w:val="center"/>
            <w:hideMark/>
          </w:tcPr>
          <w:p w14:paraId="628BFE64" w14:textId="77777777" w:rsidR="00BC22E1" w:rsidRPr="00BC22E1" w:rsidRDefault="00BC22E1" w:rsidP="00BC22E1">
            <w:pPr>
              <w:jc w:val="center"/>
            </w:pPr>
            <w:r w:rsidRPr="00BC22E1">
              <w:t>£45</w:t>
            </w:r>
          </w:p>
        </w:tc>
        <w:tc>
          <w:tcPr>
            <w:tcW w:w="976" w:type="pct"/>
            <w:vAlign w:val="center"/>
            <w:hideMark/>
          </w:tcPr>
          <w:p w14:paraId="2FAB3665" w14:textId="77777777" w:rsidR="00BC22E1" w:rsidRPr="00BC22E1" w:rsidRDefault="00BC22E1" w:rsidP="00BC22E1">
            <w:pPr>
              <w:jc w:val="center"/>
            </w:pPr>
            <w:r w:rsidRPr="00BC22E1">
              <w:t>£45</w:t>
            </w:r>
          </w:p>
        </w:tc>
        <w:tc>
          <w:tcPr>
            <w:tcW w:w="976" w:type="pct"/>
            <w:vAlign w:val="center"/>
            <w:hideMark/>
          </w:tcPr>
          <w:p w14:paraId="56528207" w14:textId="77777777" w:rsidR="00BC22E1" w:rsidRPr="00BC22E1" w:rsidRDefault="00BC22E1" w:rsidP="00BC22E1">
            <w:pPr>
              <w:jc w:val="center"/>
            </w:pPr>
            <w:r w:rsidRPr="00BC22E1">
              <w:t>£45</w:t>
            </w:r>
          </w:p>
        </w:tc>
      </w:tr>
      <w:tr w:rsidR="00BC22E1" w:rsidRPr="00BC22E1" w14:paraId="28992D05" w14:textId="77777777" w:rsidTr="00BC22E1">
        <w:trPr>
          <w:jc w:val="center"/>
        </w:trPr>
        <w:tc>
          <w:tcPr>
            <w:tcW w:w="2072" w:type="pct"/>
            <w:vAlign w:val="center"/>
            <w:hideMark/>
          </w:tcPr>
          <w:p w14:paraId="304D0769" w14:textId="77777777" w:rsidR="00BC22E1" w:rsidRPr="00BC22E1" w:rsidRDefault="00BC22E1" w:rsidP="00BC22E1">
            <w:pPr>
              <w:jc w:val="center"/>
            </w:pPr>
            <w:r w:rsidRPr="00BC22E1">
              <w:t>Average orders/month</w:t>
            </w:r>
          </w:p>
        </w:tc>
        <w:tc>
          <w:tcPr>
            <w:tcW w:w="976" w:type="pct"/>
            <w:vAlign w:val="center"/>
            <w:hideMark/>
          </w:tcPr>
          <w:p w14:paraId="16220DF4" w14:textId="77777777" w:rsidR="00BC22E1" w:rsidRPr="00BC22E1" w:rsidRDefault="00BC22E1" w:rsidP="00BC22E1">
            <w:pPr>
              <w:jc w:val="center"/>
            </w:pPr>
            <w:r w:rsidRPr="00BC22E1">
              <w:t>300</w:t>
            </w:r>
          </w:p>
        </w:tc>
        <w:tc>
          <w:tcPr>
            <w:tcW w:w="976" w:type="pct"/>
            <w:vAlign w:val="center"/>
            <w:hideMark/>
          </w:tcPr>
          <w:p w14:paraId="337E1612" w14:textId="77777777" w:rsidR="00BC22E1" w:rsidRPr="00BC22E1" w:rsidRDefault="00BC22E1" w:rsidP="00BC22E1">
            <w:pPr>
              <w:jc w:val="center"/>
            </w:pPr>
            <w:r w:rsidRPr="00BC22E1">
              <w:t>375</w:t>
            </w:r>
          </w:p>
        </w:tc>
        <w:tc>
          <w:tcPr>
            <w:tcW w:w="976" w:type="pct"/>
            <w:vAlign w:val="center"/>
            <w:hideMark/>
          </w:tcPr>
          <w:p w14:paraId="07216E82" w14:textId="77777777" w:rsidR="00BC22E1" w:rsidRPr="00BC22E1" w:rsidRDefault="00BC22E1" w:rsidP="00BC22E1">
            <w:pPr>
              <w:jc w:val="center"/>
            </w:pPr>
            <w:r w:rsidRPr="00BC22E1">
              <w:t>469</w:t>
            </w:r>
          </w:p>
        </w:tc>
      </w:tr>
      <w:tr w:rsidR="00BC22E1" w:rsidRPr="00BC22E1" w14:paraId="74C90221" w14:textId="77777777" w:rsidTr="00BC22E1">
        <w:trPr>
          <w:jc w:val="center"/>
        </w:trPr>
        <w:tc>
          <w:tcPr>
            <w:tcW w:w="2072" w:type="pct"/>
            <w:vAlign w:val="center"/>
            <w:hideMark/>
          </w:tcPr>
          <w:p w14:paraId="1760F0B6" w14:textId="77777777" w:rsidR="00BC22E1" w:rsidRPr="00BC22E1" w:rsidRDefault="00BC22E1" w:rsidP="00BC22E1">
            <w:pPr>
              <w:jc w:val="center"/>
            </w:pPr>
            <w:r w:rsidRPr="00BC22E1">
              <w:t>Revenue growth</w:t>
            </w:r>
          </w:p>
        </w:tc>
        <w:tc>
          <w:tcPr>
            <w:tcW w:w="976" w:type="pct"/>
            <w:vAlign w:val="center"/>
            <w:hideMark/>
          </w:tcPr>
          <w:p w14:paraId="7CFF2C10" w14:textId="77777777" w:rsidR="00BC22E1" w:rsidRPr="00BC22E1" w:rsidRDefault="00BC22E1" w:rsidP="00BC22E1">
            <w:pPr>
              <w:jc w:val="center"/>
            </w:pPr>
            <w:r w:rsidRPr="00BC22E1">
              <w:t>—</w:t>
            </w:r>
          </w:p>
        </w:tc>
        <w:tc>
          <w:tcPr>
            <w:tcW w:w="976" w:type="pct"/>
            <w:vAlign w:val="center"/>
            <w:hideMark/>
          </w:tcPr>
          <w:p w14:paraId="644A599F" w14:textId="77777777" w:rsidR="00BC22E1" w:rsidRPr="00BC22E1" w:rsidRDefault="00BC22E1" w:rsidP="00BC22E1">
            <w:pPr>
              <w:jc w:val="center"/>
            </w:pPr>
            <w:r w:rsidRPr="00BC22E1">
              <w:t>25%</w:t>
            </w:r>
          </w:p>
        </w:tc>
        <w:tc>
          <w:tcPr>
            <w:tcW w:w="976" w:type="pct"/>
            <w:vAlign w:val="center"/>
            <w:hideMark/>
          </w:tcPr>
          <w:p w14:paraId="135D13B0" w14:textId="77777777" w:rsidR="00BC22E1" w:rsidRPr="00BC22E1" w:rsidRDefault="00BC22E1" w:rsidP="00BC22E1">
            <w:pPr>
              <w:jc w:val="center"/>
            </w:pPr>
            <w:r w:rsidRPr="00BC22E1">
              <w:t>25%</w:t>
            </w:r>
          </w:p>
        </w:tc>
      </w:tr>
      <w:tr w:rsidR="00BC22E1" w:rsidRPr="00BC22E1" w14:paraId="55CEDCB4" w14:textId="77777777" w:rsidTr="00BC22E1">
        <w:trPr>
          <w:jc w:val="center"/>
        </w:trPr>
        <w:tc>
          <w:tcPr>
            <w:tcW w:w="2072" w:type="pct"/>
            <w:vAlign w:val="center"/>
            <w:hideMark/>
          </w:tcPr>
          <w:p w14:paraId="5E6398DC" w14:textId="77777777" w:rsidR="00BC22E1" w:rsidRPr="00BC22E1" w:rsidRDefault="00BC22E1" w:rsidP="00BC22E1">
            <w:pPr>
              <w:jc w:val="center"/>
            </w:pPr>
            <w:r w:rsidRPr="00BC22E1">
              <w:t>Annual revenue</w:t>
            </w:r>
          </w:p>
        </w:tc>
        <w:tc>
          <w:tcPr>
            <w:tcW w:w="976" w:type="pct"/>
            <w:vAlign w:val="center"/>
            <w:hideMark/>
          </w:tcPr>
          <w:p w14:paraId="2DEC06EA" w14:textId="77777777" w:rsidR="00BC22E1" w:rsidRPr="00BC22E1" w:rsidRDefault="00BC22E1" w:rsidP="00BC22E1">
            <w:pPr>
              <w:jc w:val="center"/>
            </w:pPr>
            <w:r w:rsidRPr="00BC22E1">
              <w:t>£162,000</w:t>
            </w:r>
          </w:p>
        </w:tc>
        <w:tc>
          <w:tcPr>
            <w:tcW w:w="976" w:type="pct"/>
            <w:vAlign w:val="center"/>
            <w:hideMark/>
          </w:tcPr>
          <w:p w14:paraId="52D2146D" w14:textId="77777777" w:rsidR="00BC22E1" w:rsidRPr="00BC22E1" w:rsidRDefault="00BC22E1" w:rsidP="00BC22E1">
            <w:pPr>
              <w:jc w:val="center"/>
            </w:pPr>
            <w:r w:rsidRPr="00BC22E1">
              <w:t>£202,500</w:t>
            </w:r>
          </w:p>
        </w:tc>
        <w:tc>
          <w:tcPr>
            <w:tcW w:w="976" w:type="pct"/>
            <w:vAlign w:val="center"/>
            <w:hideMark/>
          </w:tcPr>
          <w:p w14:paraId="60667622" w14:textId="77777777" w:rsidR="00BC22E1" w:rsidRPr="00BC22E1" w:rsidRDefault="00BC22E1" w:rsidP="00BC22E1">
            <w:pPr>
              <w:jc w:val="center"/>
            </w:pPr>
            <w:r w:rsidRPr="00BC22E1">
              <w:t>£253,125</w:t>
            </w:r>
          </w:p>
        </w:tc>
      </w:tr>
      <w:tr w:rsidR="00BC22E1" w:rsidRPr="00BC22E1" w14:paraId="5BBA53BE" w14:textId="77777777" w:rsidTr="00BC22E1">
        <w:trPr>
          <w:jc w:val="center"/>
        </w:trPr>
        <w:tc>
          <w:tcPr>
            <w:tcW w:w="2072" w:type="pct"/>
            <w:vAlign w:val="center"/>
            <w:hideMark/>
          </w:tcPr>
          <w:p w14:paraId="7BF5C3DF" w14:textId="77777777" w:rsidR="00BC22E1" w:rsidRPr="00BC22E1" w:rsidRDefault="00BC22E1" w:rsidP="00BC22E1">
            <w:pPr>
              <w:jc w:val="center"/>
            </w:pPr>
            <w:r w:rsidRPr="00BC22E1">
              <w:t>COGS (% revenue)</w:t>
            </w:r>
          </w:p>
        </w:tc>
        <w:tc>
          <w:tcPr>
            <w:tcW w:w="976" w:type="pct"/>
            <w:vAlign w:val="center"/>
            <w:hideMark/>
          </w:tcPr>
          <w:p w14:paraId="1E684417" w14:textId="77777777" w:rsidR="00BC22E1" w:rsidRPr="00BC22E1" w:rsidRDefault="00BC22E1" w:rsidP="00BC22E1">
            <w:pPr>
              <w:jc w:val="center"/>
            </w:pPr>
            <w:r w:rsidRPr="00BC22E1">
              <w:t>40%</w:t>
            </w:r>
          </w:p>
        </w:tc>
        <w:tc>
          <w:tcPr>
            <w:tcW w:w="976" w:type="pct"/>
            <w:vAlign w:val="center"/>
            <w:hideMark/>
          </w:tcPr>
          <w:p w14:paraId="2108E66C" w14:textId="77777777" w:rsidR="00BC22E1" w:rsidRPr="00BC22E1" w:rsidRDefault="00BC22E1" w:rsidP="00BC22E1">
            <w:pPr>
              <w:jc w:val="center"/>
            </w:pPr>
            <w:r w:rsidRPr="00BC22E1">
              <w:t>40%</w:t>
            </w:r>
          </w:p>
        </w:tc>
        <w:tc>
          <w:tcPr>
            <w:tcW w:w="976" w:type="pct"/>
            <w:vAlign w:val="center"/>
            <w:hideMark/>
          </w:tcPr>
          <w:p w14:paraId="6D7C7C52" w14:textId="77777777" w:rsidR="00BC22E1" w:rsidRPr="00BC22E1" w:rsidRDefault="00BC22E1" w:rsidP="00BC22E1">
            <w:pPr>
              <w:jc w:val="center"/>
            </w:pPr>
            <w:r w:rsidRPr="00BC22E1">
              <w:t>40%</w:t>
            </w:r>
          </w:p>
        </w:tc>
      </w:tr>
      <w:tr w:rsidR="00BC22E1" w:rsidRPr="00BC22E1" w14:paraId="1B4D1955" w14:textId="77777777" w:rsidTr="00BC22E1">
        <w:trPr>
          <w:jc w:val="center"/>
        </w:trPr>
        <w:tc>
          <w:tcPr>
            <w:tcW w:w="2072" w:type="pct"/>
            <w:vAlign w:val="center"/>
            <w:hideMark/>
          </w:tcPr>
          <w:p w14:paraId="162B86E7" w14:textId="77777777" w:rsidR="00BC22E1" w:rsidRPr="00BC22E1" w:rsidRDefault="00BC22E1" w:rsidP="00BC22E1">
            <w:pPr>
              <w:jc w:val="center"/>
            </w:pPr>
            <w:r w:rsidRPr="00BC22E1">
              <w:t>Gross margin</w:t>
            </w:r>
          </w:p>
        </w:tc>
        <w:tc>
          <w:tcPr>
            <w:tcW w:w="976" w:type="pct"/>
            <w:vAlign w:val="center"/>
            <w:hideMark/>
          </w:tcPr>
          <w:p w14:paraId="1EE30E75" w14:textId="77777777" w:rsidR="00BC22E1" w:rsidRPr="00BC22E1" w:rsidRDefault="00BC22E1" w:rsidP="00BC22E1">
            <w:pPr>
              <w:jc w:val="center"/>
            </w:pPr>
            <w:r w:rsidRPr="00BC22E1">
              <w:t>60%</w:t>
            </w:r>
          </w:p>
        </w:tc>
        <w:tc>
          <w:tcPr>
            <w:tcW w:w="976" w:type="pct"/>
            <w:vAlign w:val="center"/>
            <w:hideMark/>
          </w:tcPr>
          <w:p w14:paraId="07AE5D5F" w14:textId="77777777" w:rsidR="00BC22E1" w:rsidRPr="00BC22E1" w:rsidRDefault="00BC22E1" w:rsidP="00BC22E1">
            <w:pPr>
              <w:jc w:val="center"/>
            </w:pPr>
            <w:r w:rsidRPr="00BC22E1">
              <w:t>60%</w:t>
            </w:r>
          </w:p>
        </w:tc>
        <w:tc>
          <w:tcPr>
            <w:tcW w:w="976" w:type="pct"/>
            <w:vAlign w:val="center"/>
            <w:hideMark/>
          </w:tcPr>
          <w:p w14:paraId="4740C833" w14:textId="77777777" w:rsidR="00BC22E1" w:rsidRPr="00BC22E1" w:rsidRDefault="00BC22E1" w:rsidP="00BC22E1">
            <w:pPr>
              <w:jc w:val="center"/>
            </w:pPr>
            <w:r w:rsidRPr="00BC22E1">
              <w:t>60%</w:t>
            </w:r>
          </w:p>
        </w:tc>
      </w:tr>
      <w:tr w:rsidR="00BC22E1" w:rsidRPr="00BC22E1" w14:paraId="769E7258" w14:textId="77777777" w:rsidTr="00BC22E1">
        <w:trPr>
          <w:jc w:val="center"/>
        </w:trPr>
        <w:tc>
          <w:tcPr>
            <w:tcW w:w="2072" w:type="pct"/>
            <w:vAlign w:val="center"/>
            <w:hideMark/>
          </w:tcPr>
          <w:p w14:paraId="77D18C52" w14:textId="77777777" w:rsidR="00BC22E1" w:rsidRPr="00BC22E1" w:rsidRDefault="00BC22E1" w:rsidP="00BC22E1">
            <w:pPr>
              <w:jc w:val="center"/>
            </w:pPr>
            <w:r w:rsidRPr="00BC22E1">
              <w:t>Operating expenditure</w:t>
            </w:r>
          </w:p>
        </w:tc>
        <w:tc>
          <w:tcPr>
            <w:tcW w:w="976" w:type="pct"/>
            <w:vAlign w:val="center"/>
            <w:hideMark/>
          </w:tcPr>
          <w:p w14:paraId="3D0119B4" w14:textId="77777777" w:rsidR="00BC22E1" w:rsidRPr="00BC22E1" w:rsidRDefault="00BC22E1" w:rsidP="00BC22E1">
            <w:pPr>
              <w:jc w:val="center"/>
            </w:pPr>
            <w:r w:rsidRPr="00BC22E1">
              <w:t>£99,600</w:t>
            </w:r>
          </w:p>
        </w:tc>
        <w:tc>
          <w:tcPr>
            <w:tcW w:w="976" w:type="pct"/>
            <w:vAlign w:val="center"/>
            <w:hideMark/>
          </w:tcPr>
          <w:p w14:paraId="6E43E83A" w14:textId="77777777" w:rsidR="00BC22E1" w:rsidRPr="00BC22E1" w:rsidRDefault="00BC22E1" w:rsidP="00BC22E1">
            <w:pPr>
              <w:jc w:val="center"/>
            </w:pPr>
            <w:r w:rsidRPr="00BC22E1">
              <w:t>£104,580</w:t>
            </w:r>
          </w:p>
        </w:tc>
        <w:tc>
          <w:tcPr>
            <w:tcW w:w="976" w:type="pct"/>
            <w:vAlign w:val="center"/>
            <w:hideMark/>
          </w:tcPr>
          <w:p w14:paraId="3E30F11B" w14:textId="77777777" w:rsidR="00BC22E1" w:rsidRPr="00BC22E1" w:rsidRDefault="00BC22E1" w:rsidP="00BC22E1">
            <w:pPr>
              <w:jc w:val="center"/>
            </w:pPr>
            <w:r w:rsidRPr="00BC22E1">
              <w:t>£109,809</w:t>
            </w:r>
          </w:p>
        </w:tc>
      </w:tr>
      <w:tr w:rsidR="00BC22E1" w:rsidRPr="00BC22E1" w14:paraId="0211A0F8" w14:textId="77777777" w:rsidTr="00BC22E1">
        <w:trPr>
          <w:jc w:val="center"/>
        </w:trPr>
        <w:tc>
          <w:tcPr>
            <w:tcW w:w="2072" w:type="pct"/>
            <w:vAlign w:val="center"/>
            <w:hideMark/>
          </w:tcPr>
          <w:p w14:paraId="37959C7F" w14:textId="77777777" w:rsidR="00BC22E1" w:rsidRPr="00BC22E1" w:rsidRDefault="00BC22E1" w:rsidP="00BC22E1">
            <w:pPr>
              <w:jc w:val="center"/>
            </w:pPr>
            <w:proofErr w:type="spellStart"/>
            <w:r w:rsidRPr="00BC22E1">
              <w:t>Opex</w:t>
            </w:r>
            <w:proofErr w:type="spellEnd"/>
            <w:r w:rsidRPr="00BC22E1">
              <w:t xml:space="preserve"> growth</w:t>
            </w:r>
          </w:p>
        </w:tc>
        <w:tc>
          <w:tcPr>
            <w:tcW w:w="976" w:type="pct"/>
            <w:vAlign w:val="center"/>
            <w:hideMark/>
          </w:tcPr>
          <w:p w14:paraId="01A177CD" w14:textId="77777777" w:rsidR="00BC22E1" w:rsidRPr="00BC22E1" w:rsidRDefault="00BC22E1" w:rsidP="00BC22E1">
            <w:pPr>
              <w:jc w:val="center"/>
            </w:pPr>
            <w:r w:rsidRPr="00BC22E1">
              <w:t>—</w:t>
            </w:r>
          </w:p>
        </w:tc>
        <w:tc>
          <w:tcPr>
            <w:tcW w:w="976" w:type="pct"/>
            <w:vAlign w:val="center"/>
            <w:hideMark/>
          </w:tcPr>
          <w:p w14:paraId="2A7DA7C6" w14:textId="77777777" w:rsidR="00BC22E1" w:rsidRPr="00BC22E1" w:rsidRDefault="00BC22E1" w:rsidP="00BC22E1">
            <w:pPr>
              <w:jc w:val="center"/>
            </w:pPr>
            <w:r w:rsidRPr="00BC22E1">
              <w:t>5%</w:t>
            </w:r>
          </w:p>
        </w:tc>
        <w:tc>
          <w:tcPr>
            <w:tcW w:w="976" w:type="pct"/>
            <w:vAlign w:val="center"/>
            <w:hideMark/>
          </w:tcPr>
          <w:p w14:paraId="319A2887" w14:textId="77777777" w:rsidR="00BC22E1" w:rsidRPr="00BC22E1" w:rsidRDefault="00BC22E1" w:rsidP="00BC22E1">
            <w:pPr>
              <w:jc w:val="center"/>
            </w:pPr>
            <w:r w:rsidRPr="00BC22E1">
              <w:t>5%</w:t>
            </w:r>
          </w:p>
        </w:tc>
      </w:tr>
    </w:tbl>
    <w:p w14:paraId="61CCB8EA" w14:textId="77777777" w:rsidR="00BC22E1" w:rsidRDefault="00BC22E1" w:rsidP="00A261C3"/>
    <w:p w14:paraId="6280ABD5" w14:textId="4A920FC5" w:rsidR="00A261C3" w:rsidRDefault="00A261C3" w:rsidP="00A261C3">
      <w:r>
        <w:t xml:space="preserve">Variable production costs are assumed to be 40% of revenue, </w:t>
      </w:r>
      <w:r w:rsidR="00BC22E1">
        <w:t>including ingredient costs, packaging costs, and other costs that vary with sales volume</w:t>
      </w:r>
      <w:r>
        <w:t>. This gives a gross margin of 60% for the period of the forecast</w:t>
      </w:r>
      <w:r w:rsidR="00634A13">
        <w:t xml:space="preserve"> (Li </w:t>
      </w:r>
      <w:r w:rsidR="00634A13">
        <w:rPr>
          <w:i/>
          <w:iCs/>
        </w:rPr>
        <w:t xml:space="preserve">et al., </w:t>
      </w:r>
      <w:r w:rsidR="00634A13">
        <w:t>2022)</w:t>
      </w:r>
      <w:r>
        <w:t>. The cost of goods sold (COGS) for year 1 is then £64,800, meaning that their gross profit is £97,200. In Year 3, revenue of £253,125 generates COGS of £101,250 and gross profit of £151,875.</w:t>
      </w:r>
    </w:p>
    <w:p w14:paraId="7D4CF3BA" w14:textId="5741B57E" w:rsidR="00A261C3" w:rsidRDefault="00A261C3" w:rsidP="00A261C3">
      <w:r>
        <w:t>The annualised rent is £24,000, utilities £4,800, salaries and wages £54,000, marketing is £12,000, insurance is £2,400</w:t>
      </w:r>
      <w:r w:rsidR="005D3690">
        <w:t>,</w:t>
      </w:r>
      <w:r>
        <w:t xml:space="preserve"> and other operating expenses are £2,400, making a total of </w:t>
      </w:r>
      <w:r w:rsidR="005D3690">
        <w:t>annualised</w:t>
      </w:r>
      <w:r>
        <w:t xml:space="preserve"> operating Expenditure of £99,600 for year 1. There is a 5% per annum increase in operating expenditure that is less than the revenue growth assumed</w:t>
      </w:r>
      <w:r w:rsidR="005D3690">
        <w:t>,</w:t>
      </w:r>
      <w:r>
        <w:t xml:space="preserve"> which is 25% per annum. This differential really matters to viability because it means it will be possible to deliver a growing stream of sales to a rising operating profit.</w:t>
      </w:r>
    </w:p>
    <w:p w14:paraId="38362B3C" w14:textId="2C9E9F5E" w:rsidR="00B56077" w:rsidRDefault="00B56077" w:rsidP="00B56077">
      <w:pPr>
        <w:jc w:val="center"/>
      </w:pPr>
      <w:r>
        <w:rPr>
          <w:noProof/>
        </w:rPr>
        <w:lastRenderedPageBreak/>
        <w:drawing>
          <wp:inline distT="0" distB="0" distL="0" distR="0" wp14:anchorId="4E7B64B7" wp14:editId="5C6AFE59">
            <wp:extent cx="5035550" cy="3387969"/>
            <wp:effectExtent l="0" t="0" r="0" b="3175"/>
            <wp:docPr id="259589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5322" cy="3394543"/>
                    </a:xfrm>
                    <a:prstGeom prst="rect">
                      <a:avLst/>
                    </a:prstGeom>
                    <a:noFill/>
                  </pic:spPr>
                </pic:pic>
              </a:graphicData>
            </a:graphic>
          </wp:inline>
        </w:drawing>
      </w:r>
    </w:p>
    <w:p w14:paraId="5E68962A" w14:textId="405FC7D5" w:rsidR="00B56077" w:rsidRDefault="00B56077" w:rsidP="00B56077">
      <w:pPr>
        <w:jc w:val="center"/>
        <w:rPr>
          <w:b/>
          <w:bCs/>
        </w:rPr>
      </w:pPr>
      <w:r>
        <w:rPr>
          <w:b/>
          <w:bCs/>
        </w:rPr>
        <w:t xml:space="preserve">Fig. 2. </w:t>
      </w:r>
      <w:r w:rsidRPr="00B56077">
        <w:rPr>
          <w:b/>
          <w:bCs/>
        </w:rPr>
        <w:t>Forecast revenue and operating expenditure</w:t>
      </w:r>
    </w:p>
    <w:p w14:paraId="72DF5A45" w14:textId="194923E7" w:rsidR="00B56077" w:rsidRPr="00B56077" w:rsidRDefault="00B56077" w:rsidP="00B56077">
      <w:pPr>
        <w:jc w:val="center"/>
      </w:pPr>
      <w:r>
        <w:t>(Source: Generated in Excel)</w:t>
      </w:r>
    </w:p>
    <w:p w14:paraId="03302CCC" w14:textId="3D3212DC" w:rsidR="0083455F" w:rsidRDefault="00A261C3" w:rsidP="00A261C3">
      <w:r>
        <w:t xml:space="preserve">There is also a quantified break-even assessment </w:t>
      </w:r>
      <w:r w:rsidR="005D3690">
        <w:t>in</w:t>
      </w:r>
      <w:r>
        <w:t xml:space="preserve"> the model. The contribution per order is £27 at an average selling price of £45 and </w:t>
      </w:r>
      <w:r w:rsidR="00B56077">
        <w:t xml:space="preserve">a </w:t>
      </w:r>
      <w:r>
        <w:t xml:space="preserve">variable cost per order of £18. </w:t>
      </w:r>
      <w:r w:rsidR="005D3690">
        <w:t>Break-even</w:t>
      </w:r>
      <w:r>
        <w:t xml:space="preserve"> volume is around 308 orders per month or 3,689 orders per year (costs of £99,600 per annum). </w:t>
      </w:r>
      <w:r w:rsidR="005D3690">
        <w:t>Break-even</w:t>
      </w:r>
      <w:r>
        <w:t xml:space="preserve"> sales </w:t>
      </w:r>
      <w:r w:rsidR="005D3690">
        <w:t>are</w:t>
      </w:r>
      <w:r>
        <w:t xml:space="preserve"> around £166,000 per annum. The £162,000 forecasted revenue in Year 1 is just below the </w:t>
      </w:r>
      <w:r w:rsidR="005D3690">
        <w:t>break-even</w:t>
      </w:r>
      <w:r>
        <w:t xml:space="preserve"> point, which is why the forecasted loss is so relatively small, and it is also a point of concern - a critical performance point.</w:t>
      </w:r>
    </w:p>
    <w:p w14:paraId="68B13B92" w14:textId="0B778A9D" w:rsidR="00AB6969" w:rsidRDefault="00AB6969" w:rsidP="003B0A18">
      <w:pPr>
        <w:pStyle w:val="Heading2"/>
        <w:numPr>
          <w:ilvl w:val="1"/>
          <w:numId w:val="3"/>
        </w:numPr>
      </w:pPr>
      <w:bookmarkStart w:id="4" w:name="_Toc240105944"/>
      <w:r>
        <w:t>Three-Year Financial Plan</w:t>
      </w:r>
      <w:bookmarkEnd w:id="4"/>
    </w:p>
    <w:p w14:paraId="35A8F86B" w14:textId="01099A75" w:rsidR="00A261C3" w:rsidRDefault="00A261C3" w:rsidP="00A261C3">
      <w:r>
        <w:t>The three-year prediction shows that the transition from establishment to profitability will be slow and gradual. In Year 1, revenue of £162,000 produces gross profit of £97,200. EBIT is about –£2,400 after operating expenditure of £99,600. The expected loss before tax</w:t>
      </w:r>
      <w:r w:rsidR="005D3690">
        <w:t>,</w:t>
      </w:r>
      <w:r>
        <w:t xml:space="preserve"> with the loan interest of around £2067 is projected to be about £4467, no corporation tax is assumed because the model postulates </w:t>
      </w:r>
      <w:r w:rsidR="005D3690">
        <w:t xml:space="preserve">a </w:t>
      </w:r>
      <w:r>
        <w:t>loss. This does not necessarily reflect an unviable business idea</w:t>
      </w:r>
      <w:r w:rsidR="005D3690">
        <w:t>;</w:t>
      </w:r>
      <w:r>
        <w:t xml:space="preserve"> it is just a reflection of the financial strain that has to be put on the business to open the bakery and is a strong argument for the benefit of the £20,000 working capital reserve.</w:t>
      </w:r>
    </w:p>
    <w:p w14:paraId="2E4EF9BD" w14:textId="33627BE9" w:rsidR="00A261C3" w:rsidRDefault="00A261C3" w:rsidP="00A261C3">
      <w:r>
        <w:lastRenderedPageBreak/>
        <w:t xml:space="preserve">In Year 2, the 25% revenue increase raises sales to £202,500, while COGS rises to £81,000. The gross profit, then, comes to £121,500. OPEX rises by 5% to £104,580, which results in EBIT of £16,920. The interest and profit before tax </w:t>
      </w:r>
      <w:r w:rsidR="005D3690">
        <w:t>are</w:t>
      </w:r>
      <w:r>
        <w:t xml:space="preserve"> about £15,618</w:t>
      </w:r>
      <w:r w:rsidR="005D3690">
        <w:t>, and profit after tax is</w:t>
      </w:r>
      <w:r>
        <w:t xml:space="preserve"> about £1,302. The modelled tax provision results in a net profit after tax of around £12,650. The fact that the movement from a </w:t>
      </w:r>
      <w:r w:rsidR="005D3690">
        <w:t>Year</w:t>
      </w:r>
      <w:r>
        <w:t xml:space="preserve"> 1 loss to a </w:t>
      </w:r>
      <w:r w:rsidR="005D3690">
        <w:t>Year</w:t>
      </w:r>
      <w:r>
        <w:t xml:space="preserve"> 2 profit shows the impact of revenue growth being greater than operating cost growth.</w:t>
      </w:r>
    </w:p>
    <w:p w14:paraId="05CC1681" w14:textId="7F634F04" w:rsidR="00B56077" w:rsidRPr="00B56077" w:rsidRDefault="00B56077" w:rsidP="00B56077">
      <w:pPr>
        <w:jc w:val="center"/>
        <w:rPr>
          <w:b/>
          <w:bCs/>
        </w:rPr>
      </w:pPr>
      <w:r>
        <w:rPr>
          <w:b/>
          <w:bCs/>
        </w:rPr>
        <w:t xml:space="preserve">Table 3. </w:t>
      </w:r>
      <w:r w:rsidRPr="00B56077">
        <w:rPr>
          <w:b/>
          <w:bCs/>
        </w:rPr>
        <w:t>Three-Year Projected Income Statement</w:t>
      </w:r>
      <w:r>
        <w:rPr>
          <w:b/>
          <w:bCs/>
        </w:rPr>
        <w:t xml:space="preserve"> </w:t>
      </w:r>
    </w:p>
    <w:tbl>
      <w:tblPr>
        <w:tblStyle w:val="TableGrid"/>
        <w:tblW w:w="5000" w:type="pct"/>
        <w:jc w:val="center"/>
        <w:tblLook w:val="04A0" w:firstRow="1" w:lastRow="0" w:firstColumn="1" w:lastColumn="0" w:noHBand="0" w:noVBand="1"/>
      </w:tblPr>
      <w:tblGrid>
        <w:gridCol w:w="3524"/>
        <w:gridCol w:w="1700"/>
        <w:gridCol w:w="1897"/>
        <w:gridCol w:w="1895"/>
      </w:tblGrid>
      <w:tr w:rsidR="00B56077" w:rsidRPr="00B56077" w14:paraId="3C323B5D" w14:textId="77777777" w:rsidTr="00B56077">
        <w:trPr>
          <w:jc w:val="center"/>
        </w:trPr>
        <w:tc>
          <w:tcPr>
            <w:tcW w:w="1954" w:type="pct"/>
            <w:vAlign w:val="center"/>
            <w:hideMark/>
          </w:tcPr>
          <w:p w14:paraId="58E1AF6A" w14:textId="77777777" w:rsidR="00B56077" w:rsidRPr="00B56077" w:rsidRDefault="00B56077" w:rsidP="00B56077">
            <w:pPr>
              <w:jc w:val="center"/>
              <w:rPr>
                <w:b/>
                <w:bCs/>
              </w:rPr>
            </w:pPr>
            <w:r w:rsidRPr="00B56077">
              <w:rPr>
                <w:b/>
                <w:bCs/>
              </w:rPr>
              <w:t>£</w:t>
            </w:r>
          </w:p>
        </w:tc>
        <w:tc>
          <w:tcPr>
            <w:tcW w:w="943" w:type="pct"/>
            <w:vAlign w:val="center"/>
            <w:hideMark/>
          </w:tcPr>
          <w:p w14:paraId="65136B12" w14:textId="77777777" w:rsidR="00B56077" w:rsidRPr="00B56077" w:rsidRDefault="00B56077" w:rsidP="00B56077">
            <w:pPr>
              <w:jc w:val="center"/>
              <w:rPr>
                <w:b/>
                <w:bCs/>
              </w:rPr>
            </w:pPr>
            <w:r w:rsidRPr="00B56077">
              <w:rPr>
                <w:b/>
                <w:bCs/>
              </w:rPr>
              <w:t>Year 1</w:t>
            </w:r>
          </w:p>
        </w:tc>
        <w:tc>
          <w:tcPr>
            <w:tcW w:w="1052" w:type="pct"/>
            <w:vAlign w:val="center"/>
            <w:hideMark/>
          </w:tcPr>
          <w:p w14:paraId="34FF6B28" w14:textId="77777777" w:rsidR="00B56077" w:rsidRPr="00B56077" w:rsidRDefault="00B56077" w:rsidP="00B56077">
            <w:pPr>
              <w:jc w:val="center"/>
              <w:rPr>
                <w:b/>
                <w:bCs/>
              </w:rPr>
            </w:pPr>
            <w:r w:rsidRPr="00B56077">
              <w:rPr>
                <w:b/>
                <w:bCs/>
              </w:rPr>
              <w:t>Year 2</w:t>
            </w:r>
          </w:p>
        </w:tc>
        <w:tc>
          <w:tcPr>
            <w:tcW w:w="1052" w:type="pct"/>
            <w:vAlign w:val="center"/>
            <w:hideMark/>
          </w:tcPr>
          <w:p w14:paraId="45BE9A4C" w14:textId="77777777" w:rsidR="00B56077" w:rsidRPr="00B56077" w:rsidRDefault="00B56077" w:rsidP="00B56077">
            <w:pPr>
              <w:jc w:val="center"/>
              <w:rPr>
                <w:b/>
                <w:bCs/>
              </w:rPr>
            </w:pPr>
            <w:r w:rsidRPr="00B56077">
              <w:rPr>
                <w:b/>
                <w:bCs/>
              </w:rPr>
              <w:t>Year 3</w:t>
            </w:r>
          </w:p>
        </w:tc>
      </w:tr>
      <w:tr w:rsidR="00B56077" w:rsidRPr="00B56077" w14:paraId="5D57E498" w14:textId="77777777" w:rsidTr="00B56077">
        <w:trPr>
          <w:jc w:val="center"/>
        </w:trPr>
        <w:tc>
          <w:tcPr>
            <w:tcW w:w="1954" w:type="pct"/>
            <w:vAlign w:val="center"/>
            <w:hideMark/>
          </w:tcPr>
          <w:p w14:paraId="6E1C2BE2" w14:textId="77777777" w:rsidR="00B56077" w:rsidRPr="00B56077" w:rsidRDefault="00B56077" w:rsidP="00B56077">
            <w:pPr>
              <w:jc w:val="center"/>
            </w:pPr>
            <w:r w:rsidRPr="00B56077">
              <w:t>Revenue</w:t>
            </w:r>
          </w:p>
        </w:tc>
        <w:tc>
          <w:tcPr>
            <w:tcW w:w="943" w:type="pct"/>
            <w:vAlign w:val="center"/>
            <w:hideMark/>
          </w:tcPr>
          <w:p w14:paraId="49CC79C8" w14:textId="77777777" w:rsidR="00B56077" w:rsidRPr="00B56077" w:rsidRDefault="00B56077" w:rsidP="00B56077">
            <w:pPr>
              <w:jc w:val="center"/>
            </w:pPr>
            <w:r w:rsidRPr="00B56077">
              <w:t>162,000</w:t>
            </w:r>
          </w:p>
        </w:tc>
        <w:tc>
          <w:tcPr>
            <w:tcW w:w="1052" w:type="pct"/>
            <w:vAlign w:val="center"/>
            <w:hideMark/>
          </w:tcPr>
          <w:p w14:paraId="4468D116" w14:textId="77777777" w:rsidR="00B56077" w:rsidRPr="00B56077" w:rsidRDefault="00B56077" w:rsidP="00B56077">
            <w:pPr>
              <w:jc w:val="center"/>
            </w:pPr>
            <w:r w:rsidRPr="00B56077">
              <w:t>202,500</w:t>
            </w:r>
          </w:p>
        </w:tc>
        <w:tc>
          <w:tcPr>
            <w:tcW w:w="1052" w:type="pct"/>
            <w:vAlign w:val="center"/>
            <w:hideMark/>
          </w:tcPr>
          <w:p w14:paraId="042A1442" w14:textId="77777777" w:rsidR="00B56077" w:rsidRPr="00B56077" w:rsidRDefault="00B56077" w:rsidP="00B56077">
            <w:pPr>
              <w:jc w:val="center"/>
            </w:pPr>
            <w:r w:rsidRPr="00B56077">
              <w:t>253,125</w:t>
            </w:r>
          </w:p>
        </w:tc>
      </w:tr>
      <w:tr w:rsidR="00B56077" w:rsidRPr="00B56077" w14:paraId="6A6F31FB" w14:textId="77777777" w:rsidTr="00B56077">
        <w:trPr>
          <w:jc w:val="center"/>
        </w:trPr>
        <w:tc>
          <w:tcPr>
            <w:tcW w:w="1954" w:type="pct"/>
            <w:vAlign w:val="center"/>
            <w:hideMark/>
          </w:tcPr>
          <w:p w14:paraId="0FE9730A" w14:textId="77777777" w:rsidR="00B56077" w:rsidRPr="00B56077" w:rsidRDefault="00B56077" w:rsidP="00B56077">
            <w:pPr>
              <w:jc w:val="center"/>
            </w:pPr>
            <w:r w:rsidRPr="00B56077">
              <w:t>COGS</w:t>
            </w:r>
          </w:p>
        </w:tc>
        <w:tc>
          <w:tcPr>
            <w:tcW w:w="943" w:type="pct"/>
            <w:vAlign w:val="center"/>
            <w:hideMark/>
          </w:tcPr>
          <w:p w14:paraId="09EEF59E" w14:textId="77777777" w:rsidR="00B56077" w:rsidRPr="00B56077" w:rsidRDefault="00B56077" w:rsidP="00B56077">
            <w:pPr>
              <w:jc w:val="center"/>
            </w:pPr>
            <w:r w:rsidRPr="00B56077">
              <w:t>(64,800)</w:t>
            </w:r>
          </w:p>
        </w:tc>
        <w:tc>
          <w:tcPr>
            <w:tcW w:w="1052" w:type="pct"/>
            <w:vAlign w:val="center"/>
            <w:hideMark/>
          </w:tcPr>
          <w:p w14:paraId="2F515D9B" w14:textId="77777777" w:rsidR="00B56077" w:rsidRPr="00B56077" w:rsidRDefault="00B56077" w:rsidP="00B56077">
            <w:pPr>
              <w:jc w:val="center"/>
            </w:pPr>
            <w:r w:rsidRPr="00B56077">
              <w:t>(81,000)</w:t>
            </w:r>
          </w:p>
        </w:tc>
        <w:tc>
          <w:tcPr>
            <w:tcW w:w="1052" w:type="pct"/>
            <w:vAlign w:val="center"/>
            <w:hideMark/>
          </w:tcPr>
          <w:p w14:paraId="5F80C76B" w14:textId="77777777" w:rsidR="00B56077" w:rsidRPr="00B56077" w:rsidRDefault="00B56077" w:rsidP="00B56077">
            <w:pPr>
              <w:jc w:val="center"/>
            </w:pPr>
            <w:r w:rsidRPr="00B56077">
              <w:t>(101,250)</w:t>
            </w:r>
          </w:p>
        </w:tc>
      </w:tr>
      <w:tr w:rsidR="00B56077" w:rsidRPr="00B56077" w14:paraId="7253D429" w14:textId="77777777" w:rsidTr="00B56077">
        <w:trPr>
          <w:jc w:val="center"/>
        </w:trPr>
        <w:tc>
          <w:tcPr>
            <w:tcW w:w="1954" w:type="pct"/>
            <w:vAlign w:val="center"/>
            <w:hideMark/>
          </w:tcPr>
          <w:p w14:paraId="46DD496B" w14:textId="77777777" w:rsidR="00B56077" w:rsidRPr="00B56077" w:rsidRDefault="00B56077" w:rsidP="00B56077">
            <w:pPr>
              <w:jc w:val="center"/>
            </w:pPr>
            <w:r w:rsidRPr="00B56077">
              <w:t>Gross profit</w:t>
            </w:r>
          </w:p>
        </w:tc>
        <w:tc>
          <w:tcPr>
            <w:tcW w:w="943" w:type="pct"/>
            <w:vAlign w:val="center"/>
            <w:hideMark/>
          </w:tcPr>
          <w:p w14:paraId="3256628B" w14:textId="77777777" w:rsidR="00B56077" w:rsidRPr="00B56077" w:rsidRDefault="00B56077" w:rsidP="00B56077">
            <w:pPr>
              <w:jc w:val="center"/>
            </w:pPr>
            <w:r w:rsidRPr="00B56077">
              <w:t>97,200</w:t>
            </w:r>
          </w:p>
        </w:tc>
        <w:tc>
          <w:tcPr>
            <w:tcW w:w="1052" w:type="pct"/>
            <w:vAlign w:val="center"/>
            <w:hideMark/>
          </w:tcPr>
          <w:p w14:paraId="370F2BB7" w14:textId="77777777" w:rsidR="00B56077" w:rsidRPr="00B56077" w:rsidRDefault="00B56077" w:rsidP="00B56077">
            <w:pPr>
              <w:jc w:val="center"/>
            </w:pPr>
            <w:r w:rsidRPr="00B56077">
              <w:t>121,500</w:t>
            </w:r>
          </w:p>
        </w:tc>
        <w:tc>
          <w:tcPr>
            <w:tcW w:w="1052" w:type="pct"/>
            <w:vAlign w:val="center"/>
            <w:hideMark/>
          </w:tcPr>
          <w:p w14:paraId="5C0CCE51" w14:textId="77777777" w:rsidR="00B56077" w:rsidRPr="00B56077" w:rsidRDefault="00B56077" w:rsidP="00B56077">
            <w:pPr>
              <w:jc w:val="center"/>
            </w:pPr>
            <w:r w:rsidRPr="00B56077">
              <w:t>151,875</w:t>
            </w:r>
          </w:p>
        </w:tc>
      </w:tr>
      <w:tr w:rsidR="00B56077" w:rsidRPr="00B56077" w14:paraId="0BB83E3E" w14:textId="77777777" w:rsidTr="00B56077">
        <w:trPr>
          <w:jc w:val="center"/>
        </w:trPr>
        <w:tc>
          <w:tcPr>
            <w:tcW w:w="1954" w:type="pct"/>
            <w:vAlign w:val="center"/>
            <w:hideMark/>
          </w:tcPr>
          <w:p w14:paraId="14FF27D3" w14:textId="77777777" w:rsidR="00B56077" w:rsidRPr="00B56077" w:rsidRDefault="00B56077" w:rsidP="00B56077">
            <w:pPr>
              <w:jc w:val="center"/>
            </w:pPr>
            <w:r w:rsidRPr="00B56077">
              <w:t>Operating expenses</w:t>
            </w:r>
          </w:p>
        </w:tc>
        <w:tc>
          <w:tcPr>
            <w:tcW w:w="943" w:type="pct"/>
            <w:vAlign w:val="center"/>
            <w:hideMark/>
          </w:tcPr>
          <w:p w14:paraId="1BA7981B" w14:textId="77777777" w:rsidR="00B56077" w:rsidRPr="00B56077" w:rsidRDefault="00B56077" w:rsidP="00B56077">
            <w:pPr>
              <w:jc w:val="center"/>
            </w:pPr>
            <w:r w:rsidRPr="00B56077">
              <w:t>(99,600)</w:t>
            </w:r>
          </w:p>
        </w:tc>
        <w:tc>
          <w:tcPr>
            <w:tcW w:w="1052" w:type="pct"/>
            <w:vAlign w:val="center"/>
            <w:hideMark/>
          </w:tcPr>
          <w:p w14:paraId="0782FE1B" w14:textId="77777777" w:rsidR="00B56077" w:rsidRPr="00B56077" w:rsidRDefault="00B56077" w:rsidP="00B56077">
            <w:pPr>
              <w:jc w:val="center"/>
            </w:pPr>
            <w:r w:rsidRPr="00B56077">
              <w:t>(104,580)</w:t>
            </w:r>
          </w:p>
        </w:tc>
        <w:tc>
          <w:tcPr>
            <w:tcW w:w="1052" w:type="pct"/>
            <w:vAlign w:val="center"/>
            <w:hideMark/>
          </w:tcPr>
          <w:p w14:paraId="475B116C" w14:textId="77777777" w:rsidR="00B56077" w:rsidRPr="00B56077" w:rsidRDefault="00B56077" w:rsidP="00B56077">
            <w:pPr>
              <w:jc w:val="center"/>
            </w:pPr>
            <w:r w:rsidRPr="00B56077">
              <w:t>(109,809)</w:t>
            </w:r>
          </w:p>
        </w:tc>
      </w:tr>
      <w:tr w:rsidR="00B56077" w:rsidRPr="00B56077" w14:paraId="66107565" w14:textId="77777777" w:rsidTr="00B56077">
        <w:trPr>
          <w:jc w:val="center"/>
        </w:trPr>
        <w:tc>
          <w:tcPr>
            <w:tcW w:w="1954" w:type="pct"/>
            <w:vAlign w:val="center"/>
            <w:hideMark/>
          </w:tcPr>
          <w:p w14:paraId="36389A7B" w14:textId="77777777" w:rsidR="00B56077" w:rsidRPr="00B56077" w:rsidRDefault="00B56077" w:rsidP="00B56077">
            <w:pPr>
              <w:jc w:val="center"/>
            </w:pPr>
            <w:r w:rsidRPr="00B56077">
              <w:t>EBIT</w:t>
            </w:r>
          </w:p>
        </w:tc>
        <w:tc>
          <w:tcPr>
            <w:tcW w:w="943" w:type="pct"/>
            <w:vAlign w:val="center"/>
            <w:hideMark/>
          </w:tcPr>
          <w:p w14:paraId="348B1EE0" w14:textId="77777777" w:rsidR="00B56077" w:rsidRPr="00B56077" w:rsidRDefault="00B56077" w:rsidP="00B56077">
            <w:pPr>
              <w:jc w:val="center"/>
            </w:pPr>
            <w:r w:rsidRPr="00B56077">
              <w:t>(2,400)</w:t>
            </w:r>
          </w:p>
        </w:tc>
        <w:tc>
          <w:tcPr>
            <w:tcW w:w="1052" w:type="pct"/>
            <w:vAlign w:val="center"/>
            <w:hideMark/>
          </w:tcPr>
          <w:p w14:paraId="582C4812" w14:textId="77777777" w:rsidR="00B56077" w:rsidRPr="00B56077" w:rsidRDefault="00B56077" w:rsidP="00B56077">
            <w:pPr>
              <w:jc w:val="center"/>
            </w:pPr>
            <w:r w:rsidRPr="00B56077">
              <w:t>16,920</w:t>
            </w:r>
          </w:p>
        </w:tc>
        <w:tc>
          <w:tcPr>
            <w:tcW w:w="1052" w:type="pct"/>
            <w:vAlign w:val="center"/>
            <w:hideMark/>
          </w:tcPr>
          <w:p w14:paraId="35D5CC6E" w14:textId="77777777" w:rsidR="00B56077" w:rsidRPr="00B56077" w:rsidRDefault="00B56077" w:rsidP="00B56077">
            <w:pPr>
              <w:jc w:val="center"/>
            </w:pPr>
            <w:r w:rsidRPr="00B56077">
              <w:t>42,066</w:t>
            </w:r>
          </w:p>
        </w:tc>
      </w:tr>
      <w:tr w:rsidR="00B56077" w:rsidRPr="00B56077" w14:paraId="67AA674C" w14:textId="77777777" w:rsidTr="00B56077">
        <w:trPr>
          <w:jc w:val="center"/>
        </w:trPr>
        <w:tc>
          <w:tcPr>
            <w:tcW w:w="1954" w:type="pct"/>
            <w:vAlign w:val="center"/>
            <w:hideMark/>
          </w:tcPr>
          <w:p w14:paraId="207490F0" w14:textId="77777777" w:rsidR="00B56077" w:rsidRPr="00B56077" w:rsidRDefault="00B56077" w:rsidP="00B56077">
            <w:pPr>
              <w:jc w:val="center"/>
            </w:pPr>
            <w:r w:rsidRPr="00B56077">
              <w:t>Interest</w:t>
            </w:r>
          </w:p>
        </w:tc>
        <w:tc>
          <w:tcPr>
            <w:tcW w:w="943" w:type="pct"/>
            <w:vAlign w:val="center"/>
            <w:hideMark/>
          </w:tcPr>
          <w:p w14:paraId="32E91A95" w14:textId="77777777" w:rsidR="00B56077" w:rsidRPr="00B56077" w:rsidRDefault="00B56077" w:rsidP="00B56077">
            <w:pPr>
              <w:jc w:val="center"/>
            </w:pPr>
            <w:r w:rsidRPr="00B56077">
              <w:t>(2,067)</w:t>
            </w:r>
          </w:p>
        </w:tc>
        <w:tc>
          <w:tcPr>
            <w:tcW w:w="1052" w:type="pct"/>
            <w:vAlign w:val="center"/>
            <w:hideMark/>
          </w:tcPr>
          <w:p w14:paraId="33ADA657" w14:textId="77777777" w:rsidR="00B56077" w:rsidRPr="00B56077" w:rsidRDefault="00B56077" w:rsidP="00B56077">
            <w:pPr>
              <w:jc w:val="center"/>
            </w:pPr>
            <w:r w:rsidRPr="00B56077">
              <w:t>(1,302)</w:t>
            </w:r>
          </w:p>
        </w:tc>
        <w:tc>
          <w:tcPr>
            <w:tcW w:w="1052" w:type="pct"/>
            <w:vAlign w:val="center"/>
            <w:hideMark/>
          </w:tcPr>
          <w:p w14:paraId="27D313C6" w14:textId="77777777" w:rsidR="00B56077" w:rsidRPr="00B56077" w:rsidRDefault="00B56077" w:rsidP="00B56077">
            <w:pPr>
              <w:jc w:val="center"/>
            </w:pPr>
            <w:r w:rsidRPr="00B56077">
              <w:t>(474)</w:t>
            </w:r>
          </w:p>
        </w:tc>
      </w:tr>
      <w:tr w:rsidR="00B56077" w:rsidRPr="00B56077" w14:paraId="4BC03F5D" w14:textId="77777777" w:rsidTr="00B56077">
        <w:trPr>
          <w:jc w:val="center"/>
        </w:trPr>
        <w:tc>
          <w:tcPr>
            <w:tcW w:w="1954" w:type="pct"/>
            <w:vAlign w:val="center"/>
            <w:hideMark/>
          </w:tcPr>
          <w:p w14:paraId="0F49BCAF" w14:textId="77777777" w:rsidR="00B56077" w:rsidRPr="00B56077" w:rsidRDefault="00B56077" w:rsidP="00B56077">
            <w:pPr>
              <w:jc w:val="center"/>
            </w:pPr>
            <w:r w:rsidRPr="00B56077">
              <w:t>Profit before tax</w:t>
            </w:r>
          </w:p>
        </w:tc>
        <w:tc>
          <w:tcPr>
            <w:tcW w:w="943" w:type="pct"/>
            <w:vAlign w:val="center"/>
            <w:hideMark/>
          </w:tcPr>
          <w:p w14:paraId="1AD83289" w14:textId="77777777" w:rsidR="00B56077" w:rsidRPr="00B56077" w:rsidRDefault="00B56077" w:rsidP="00B56077">
            <w:pPr>
              <w:jc w:val="center"/>
            </w:pPr>
            <w:r w:rsidRPr="00B56077">
              <w:t>(4,467)</w:t>
            </w:r>
          </w:p>
        </w:tc>
        <w:tc>
          <w:tcPr>
            <w:tcW w:w="1052" w:type="pct"/>
            <w:vAlign w:val="center"/>
            <w:hideMark/>
          </w:tcPr>
          <w:p w14:paraId="731764A5" w14:textId="77777777" w:rsidR="00B56077" w:rsidRPr="00B56077" w:rsidRDefault="00B56077" w:rsidP="00B56077">
            <w:pPr>
              <w:jc w:val="center"/>
            </w:pPr>
            <w:r w:rsidRPr="00B56077">
              <w:t>15,618</w:t>
            </w:r>
          </w:p>
        </w:tc>
        <w:tc>
          <w:tcPr>
            <w:tcW w:w="1052" w:type="pct"/>
            <w:vAlign w:val="center"/>
            <w:hideMark/>
          </w:tcPr>
          <w:p w14:paraId="637CF497" w14:textId="77777777" w:rsidR="00B56077" w:rsidRPr="00B56077" w:rsidRDefault="00B56077" w:rsidP="00B56077">
            <w:pPr>
              <w:jc w:val="center"/>
            </w:pPr>
            <w:r w:rsidRPr="00B56077">
              <w:t>41,592</w:t>
            </w:r>
          </w:p>
        </w:tc>
      </w:tr>
      <w:tr w:rsidR="00B56077" w:rsidRPr="00B56077" w14:paraId="71E90B00" w14:textId="77777777" w:rsidTr="00B56077">
        <w:trPr>
          <w:jc w:val="center"/>
        </w:trPr>
        <w:tc>
          <w:tcPr>
            <w:tcW w:w="1954" w:type="pct"/>
            <w:vAlign w:val="center"/>
            <w:hideMark/>
          </w:tcPr>
          <w:p w14:paraId="294BABF4" w14:textId="77777777" w:rsidR="00B56077" w:rsidRPr="00B56077" w:rsidRDefault="00B56077" w:rsidP="00B56077">
            <w:pPr>
              <w:jc w:val="center"/>
            </w:pPr>
            <w:r w:rsidRPr="00B56077">
              <w:t>Tax</w:t>
            </w:r>
          </w:p>
        </w:tc>
        <w:tc>
          <w:tcPr>
            <w:tcW w:w="943" w:type="pct"/>
            <w:vAlign w:val="center"/>
            <w:hideMark/>
          </w:tcPr>
          <w:p w14:paraId="571068F6" w14:textId="77777777" w:rsidR="00B56077" w:rsidRPr="00B56077" w:rsidRDefault="00B56077" w:rsidP="00B56077">
            <w:pPr>
              <w:jc w:val="center"/>
            </w:pPr>
            <w:r w:rsidRPr="00B56077">
              <w:t>—</w:t>
            </w:r>
          </w:p>
        </w:tc>
        <w:tc>
          <w:tcPr>
            <w:tcW w:w="1052" w:type="pct"/>
            <w:vAlign w:val="center"/>
            <w:hideMark/>
          </w:tcPr>
          <w:p w14:paraId="2B977D7C" w14:textId="77777777" w:rsidR="00B56077" w:rsidRPr="00B56077" w:rsidRDefault="00B56077" w:rsidP="00B56077">
            <w:pPr>
              <w:jc w:val="center"/>
            </w:pPr>
            <w:r w:rsidRPr="00B56077">
              <w:t>(2,967)</w:t>
            </w:r>
          </w:p>
        </w:tc>
        <w:tc>
          <w:tcPr>
            <w:tcW w:w="1052" w:type="pct"/>
            <w:vAlign w:val="center"/>
            <w:hideMark/>
          </w:tcPr>
          <w:p w14:paraId="6DB5C8E6" w14:textId="77777777" w:rsidR="00B56077" w:rsidRPr="00B56077" w:rsidRDefault="00B56077" w:rsidP="00B56077">
            <w:pPr>
              <w:jc w:val="center"/>
            </w:pPr>
            <w:r w:rsidRPr="00B56077">
              <w:t>(7,902)</w:t>
            </w:r>
          </w:p>
        </w:tc>
      </w:tr>
      <w:tr w:rsidR="00B56077" w:rsidRPr="00B56077" w14:paraId="17446D77" w14:textId="77777777" w:rsidTr="00B56077">
        <w:trPr>
          <w:jc w:val="center"/>
        </w:trPr>
        <w:tc>
          <w:tcPr>
            <w:tcW w:w="1954" w:type="pct"/>
            <w:vAlign w:val="center"/>
            <w:hideMark/>
          </w:tcPr>
          <w:p w14:paraId="1457EB20" w14:textId="77777777" w:rsidR="00B56077" w:rsidRPr="00B56077" w:rsidRDefault="00B56077" w:rsidP="00B56077">
            <w:pPr>
              <w:jc w:val="center"/>
            </w:pPr>
            <w:r w:rsidRPr="00B56077">
              <w:t>Net profit after tax</w:t>
            </w:r>
          </w:p>
        </w:tc>
        <w:tc>
          <w:tcPr>
            <w:tcW w:w="943" w:type="pct"/>
            <w:vAlign w:val="center"/>
            <w:hideMark/>
          </w:tcPr>
          <w:p w14:paraId="0BE3E24D" w14:textId="77777777" w:rsidR="00B56077" w:rsidRPr="00B56077" w:rsidRDefault="00B56077" w:rsidP="00B56077">
            <w:pPr>
              <w:jc w:val="center"/>
            </w:pPr>
            <w:r w:rsidRPr="00B56077">
              <w:t>(4,467)</w:t>
            </w:r>
          </w:p>
        </w:tc>
        <w:tc>
          <w:tcPr>
            <w:tcW w:w="1052" w:type="pct"/>
            <w:vAlign w:val="center"/>
            <w:hideMark/>
          </w:tcPr>
          <w:p w14:paraId="406D55E0" w14:textId="77777777" w:rsidR="00B56077" w:rsidRPr="00B56077" w:rsidRDefault="00B56077" w:rsidP="00B56077">
            <w:pPr>
              <w:jc w:val="center"/>
            </w:pPr>
            <w:r w:rsidRPr="00B56077">
              <w:t>12,650</w:t>
            </w:r>
          </w:p>
        </w:tc>
        <w:tc>
          <w:tcPr>
            <w:tcW w:w="1052" w:type="pct"/>
            <w:vAlign w:val="center"/>
            <w:hideMark/>
          </w:tcPr>
          <w:p w14:paraId="3D844B2A" w14:textId="77777777" w:rsidR="00B56077" w:rsidRPr="00B56077" w:rsidRDefault="00B56077" w:rsidP="00B56077">
            <w:pPr>
              <w:jc w:val="center"/>
            </w:pPr>
            <w:r w:rsidRPr="00B56077">
              <w:t>33,690</w:t>
            </w:r>
          </w:p>
        </w:tc>
      </w:tr>
      <w:tr w:rsidR="00B56077" w:rsidRPr="00B56077" w14:paraId="5D1BA774" w14:textId="77777777" w:rsidTr="00B56077">
        <w:trPr>
          <w:jc w:val="center"/>
        </w:trPr>
        <w:tc>
          <w:tcPr>
            <w:tcW w:w="1954" w:type="pct"/>
            <w:vAlign w:val="center"/>
            <w:hideMark/>
          </w:tcPr>
          <w:p w14:paraId="37283497" w14:textId="77777777" w:rsidR="00B56077" w:rsidRPr="00B56077" w:rsidRDefault="00B56077" w:rsidP="00B56077">
            <w:pPr>
              <w:jc w:val="center"/>
            </w:pPr>
            <w:r w:rsidRPr="00B56077">
              <w:t>Net profit margin</w:t>
            </w:r>
          </w:p>
        </w:tc>
        <w:tc>
          <w:tcPr>
            <w:tcW w:w="943" w:type="pct"/>
            <w:vAlign w:val="center"/>
            <w:hideMark/>
          </w:tcPr>
          <w:p w14:paraId="1C764DD7" w14:textId="77777777" w:rsidR="00B56077" w:rsidRPr="00B56077" w:rsidRDefault="00B56077" w:rsidP="00B56077">
            <w:pPr>
              <w:jc w:val="center"/>
            </w:pPr>
            <w:r w:rsidRPr="00B56077">
              <w:t>−2.8%</w:t>
            </w:r>
          </w:p>
        </w:tc>
        <w:tc>
          <w:tcPr>
            <w:tcW w:w="1052" w:type="pct"/>
            <w:vAlign w:val="center"/>
            <w:hideMark/>
          </w:tcPr>
          <w:p w14:paraId="0194E170" w14:textId="77777777" w:rsidR="00B56077" w:rsidRPr="00B56077" w:rsidRDefault="00B56077" w:rsidP="00B56077">
            <w:pPr>
              <w:jc w:val="center"/>
            </w:pPr>
            <w:r w:rsidRPr="00B56077">
              <w:t>6.2%</w:t>
            </w:r>
          </w:p>
        </w:tc>
        <w:tc>
          <w:tcPr>
            <w:tcW w:w="1052" w:type="pct"/>
            <w:vAlign w:val="center"/>
            <w:hideMark/>
          </w:tcPr>
          <w:p w14:paraId="47993F3B" w14:textId="77777777" w:rsidR="00B56077" w:rsidRPr="00B56077" w:rsidRDefault="00B56077" w:rsidP="00B56077">
            <w:pPr>
              <w:jc w:val="center"/>
            </w:pPr>
            <w:r w:rsidRPr="00B56077">
              <w:t>13.3%</w:t>
            </w:r>
          </w:p>
        </w:tc>
      </w:tr>
    </w:tbl>
    <w:p w14:paraId="7EB8A7BF" w14:textId="77777777" w:rsidR="00B56077" w:rsidRDefault="00B56077" w:rsidP="00A261C3"/>
    <w:p w14:paraId="26CF8B79" w14:textId="4AE9330F" w:rsidR="00A261C3" w:rsidRDefault="00A261C3" w:rsidP="00A261C3">
      <w:r>
        <w:lastRenderedPageBreak/>
        <w:t xml:space="preserve">This improvement is reinforced in Year 3. </w:t>
      </w:r>
      <w:r w:rsidR="00B56077">
        <w:t>Revenue</w:t>
      </w:r>
      <w:r>
        <w:t xml:space="preserve"> is worth £253,125, gross profit £151,875</w:t>
      </w:r>
      <w:r w:rsidR="005D3690">
        <w:t>,</w:t>
      </w:r>
      <w:r>
        <w:t xml:space="preserve"> and operating expenditure is around £109,809. EBIT thereby increases by about £42,066. As the outstanding balance on the loan decreases, the interest drops to approximately £474</w:t>
      </w:r>
      <w:r w:rsidR="005D3690">
        <w:t>,</w:t>
      </w:r>
      <w:r>
        <w:t xml:space="preserve"> and the profit before tax is approximately £41,592, and the net profit after tax is approximately £33,690 under the model assumptions. The net profit margin is then improved from a negative value of ~-2.8% to +6.3% in Year 2 and +13.3% in Year 3. This is a positive trend that shows that </w:t>
      </w:r>
      <w:r w:rsidR="005D3690">
        <w:t>operations are</w:t>
      </w:r>
      <w:r>
        <w:t xml:space="preserve"> becoming more efficient and profitability is improving.</w:t>
      </w:r>
    </w:p>
    <w:p w14:paraId="493EFF82" w14:textId="0A8A9108" w:rsidR="00B56077" w:rsidRDefault="00B56077" w:rsidP="00B56077">
      <w:pPr>
        <w:jc w:val="center"/>
      </w:pPr>
      <w:r>
        <w:rPr>
          <w:noProof/>
        </w:rPr>
        <w:drawing>
          <wp:inline distT="0" distB="0" distL="0" distR="0" wp14:anchorId="57C4BDCA" wp14:editId="61BB0657">
            <wp:extent cx="4994031" cy="3688080"/>
            <wp:effectExtent l="0" t="0" r="0" b="7620"/>
            <wp:docPr id="1761438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0959" cy="3693196"/>
                    </a:xfrm>
                    <a:prstGeom prst="rect">
                      <a:avLst/>
                    </a:prstGeom>
                    <a:noFill/>
                  </pic:spPr>
                </pic:pic>
              </a:graphicData>
            </a:graphic>
          </wp:inline>
        </w:drawing>
      </w:r>
    </w:p>
    <w:p w14:paraId="7E1AB513" w14:textId="41DC3529" w:rsidR="00B56077" w:rsidRDefault="00B56077" w:rsidP="00B56077">
      <w:pPr>
        <w:jc w:val="center"/>
        <w:rPr>
          <w:b/>
          <w:bCs/>
        </w:rPr>
      </w:pPr>
      <w:r>
        <w:rPr>
          <w:b/>
          <w:bCs/>
        </w:rPr>
        <w:t xml:space="preserve">Fig. 3. </w:t>
      </w:r>
      <w:r w:rsidRPr="00B56077">
        <w:rPr>
          <w:b/>
          <w:bCs/>
        </w:rPr>
        <w:t>Forecast net profit after tax over the three-year planning period</w:t>
      </w:r>
    </w:p>
    <w:p w14:paraId="558E8C7A" w14:textId="1EA135CB" w:rsidR="00B56077" w:rsidRPr="00B56077" w:rsidRDefault="00B56077" w:rsidP="00B56077">
      <w:pPr>
        <w:jc w:val="center"/>
      </w:pPr>
      <w:r>
        <w:t>(Source: Generated in Excel)</w:t>
      </w:r>
    </w:p>
    <w:p w14:paraId="03266333" w14:textId="6EB6F91B" w:rsidR="00A261C3" w:rsidRDefault="00A261C3" w:rsidP="00A261C3">
      <w:r>
        <w:t xml:space="preserve">Cash-flow analysis offers an investor's viewpoint, since accounting profit does not necessarily translate to cash flow. The model starts with a cash reserve of £20,000 after </w:t>
      </w:r>
      <w:r w:rsidR="005D3690">
        <w:t>start-up</w:t>
      </w:r>
      <w:r>
        <w:t xml:space="preserve"> costs, with the monthly loan repayments of c. £940 establishing a long-term funding obligation. During Year 1, Forecast cash is under pressure, due to revenue being just below break-even. However, the initial deficit is offset by the reserve. Under the baseline scenario, cash will strengthen as profitability grows until it hits around £31,873 at the end of the third year. This implies that the </w:t>
      </w:r>
      <w:r>
        <w:lastRenderedPageBreak/>
        <w:t>business can sustain itself after the start-up phase, if the income and expenditure projections are met.</w:t>
      </w:r>
    </w:p>
    <w:p w14:paraId="7D792CB3" w14:textId="3B98FF4D" w:rsidR="00586483" w:rsidRDefault="00586483" w:rsidP="00586483">
      <w:pPr>
        <w:jc w:val="center"/>
      </w:pPr>
      <w:r>
        <w:rPr>
          <w:noProof/>
        </w:rPr>
        <w:drawing>
          <wp:inline distT="0" distB="0" distL="0" distR="0" wp14:anchorId="145E5776" wp14:editId="121AD09C">
            <wp:extent cx="5316220" cy="3454274"/>
            <wp:effectExtent l="0" t="0" r="0" b="0"/>
            <wp:docPr id="1405400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2705" cy="3458488"/>
                    </a:xfrm>
                    <a:prstGeom prst="rect">
                      <a:avLst/>
                    </a:prstGeom>
                    <a:noFill/>
                  </pic:spPr>
                </pic:pic>
              </a:graphicData>
            </a:graphic>
          </wp:inline>
        </w:drawing>
      </w:r>
    </w:p>
    <w:p w14:paraId="3CB6FC07" w14:textId="4732034D" w:rsidR="00586483" w:rsidRDefault="00586483" w:rsidP="00586483">
      <w:pPr>
        <w:jc w:val="center"/>
        <w:rPr>
          <w:b/>
          <w:bCs/>
        </w:rPr>
      </w:pPr>
      <w:r>
        <w:rPr>
          <w:b/>
          <w:bCs/>
        </w:rPr>
        <w:t xml:space="preserve">Fig. 4. </w:t>
      </w:r>
      <w:r w:rsidRPr="00586483">
        <w:rPr>
          <w:b/>
          <w:bCs/>
        </w:rPr>
        <w:t>Cash Balance Over 36 Months</w:t>
      </w:r>
    </w:p>
    <w:p w14:paraId="7C26730E" w14:textId="4FFBB99A" w:rsidR="00586483" w:rsidRPr="00586483" w:rsidRDefault="00586483" w:rsidP="00586483">
      <w:pPr>
        <w:jc w:val="center"/>
      </w:pPr>
      <w:r>
        <w:t>(Source: Generated in Excel)</w:t>
      </w:r>
    </w:p>
    <w:p w14:paraId="63A40754" w14:textId="3A608EA6" w:rsidR="00AB6969" w:rsidRDefault="00A261C3" w:rsidP="00A261C3">
      <w:r>
        <w:t>The model also has a simple LTV:</w:t>
      </w:r>
      <w:r w:rsidR="005D3690">
        <w:t xml:space="preserve"> </w:t>
      </w:r>
      <w:r>
        <w:t>CAC ratio of c. 4.05:1</w:t>
      </w:r>
      <w:r w:rsidR="005D3690">
        <w:t>,</w:t>
      </w:r>
      <w:r>
        <w:t xml:space="preserve"> assuming that £40 is the cost of customer acquisition and £162 is the lifetime-value proxy. This may be desirable because it has the potential </w:t>
      </w:r>
      <w:r w:rsidR="00B56077">
        <w:t>to be</w:t>
      </w:r>
      <w:r>
        <w:t xml:space="preserve"> more valuable than the cost of acquisition, but should be approached with care since it is a planning proxy and not evidence from customer cohorts.</w:t>
      </w:r>
    </w:p>
    <w:p w14:paraId="2A6460E5" w14:textId="01308BAD" w:rsidR="00AB6969" w:rsidRDefault="00AB6969" w:rsidP="003B0A18">
      <w:pPr>
        <w:pStyle w:val="Heading2"/>
        <w:numPr>
          <w:ilvl w:val="1"/>
          <w:numId w:val="3"/>
        </w:numPr>
      </w:pPr>
      <w:bookmarkStart w:id="5" w:name="_Toc240105945"/>
      <w:r>
        <w:t>Scenario Testing and Risk Evaluation</w:t>
      </w:r>
      <w:bookmarkEnd w:id="5"/>
    </w:p>
    <w:p w14:paraId="5D9AD57E" w14:textId="21D4AF71" w:rsidR="00A261C3" w:rsidRDefault="00A261C3" w:rsidP="00A261C3">
      <w:r>
        <w:t xml:space="preserve">The purpose of scenario analysis is to determine if the investment is still worth making if the key assumptions change. The </w:t>
      </w:r>
      <w:r w:rsidR="006737D4">
        <w:t>best-case</w:t>
      </w:r>
      <w:r>
        <w:t xml:space="preserve"> scenario is based on 35% annual revenue growth, COGS of 35%</w:t>
      </w:r>
      <w:r w:rsidR="00B56077">
        <w:t>,</w:t>
      </w:r>
      <w:r>
        <w:t xml:space="preserve"> and operating-cost growth of 4%. In this case, the net profit after tax for Year 3 is about £67,803; closing cash is about £90,934</w:t>
      </w:r>
      <w:r w:rsidR="005D3690">
        <w:t>,</w:t>
      </w:r>
      <w:r>
        <w:t xml:space="preserve"> and the break-even volume drops to about 3,405 orders. This indicates that there is a lot of potential for this product to have a positive return should there be a spike in demand and a decrease in production efficiency and cost control.</w:t>
      </w:r>
      <w:r w:rsidR="00B56077">
        <w:t xml:space="preserve"> </w:t>
      </w:r>
      <w:r>
        <w:t xml:space="preserve">In the base case, revenue growth remains at 25% annually, COGS remains at 40% of </w:t>
      </w:r>
      <w:r>
        <w:lastRenderedPageBreak/>
        <w:t>revenue</w:t>
      </w:r>
      <w:r w:rsidR="005D3690">
        <w:t>,</w:t>
      </w:r>
      <w:r>
        <w:t xml:space="preserve"> and operating-cost growth is at 5%. Net profit after tax is expected to be around £33,690, closing cash is expected to be around £31,873</w:t>
      </w:r>
      <w:r w:rsidR="005D3690">
        <w:t>,</w:t>
      </w:r>
      <w:r>
        <w:t xml:space="preserve"> and break-even volume is expected to be around 3,689 orders</w:t>
      </w:r>
      <w:r w:rsidR="00744A83">
        <w:t xml:space="preserve"> (Table 4)</w:t>
      </w:r>
      <w:r>
        <w:t>.</w:t>
      </w:r>
    </w:p>
    <w:p w14:paraId="0E75E82B" w14:textId="7C91A1DE" w:rsidR="006737D4" w:rsidRPr="006737D4" w:rsidRDefault="006737D4" w:rsidP="006737D4">
      <w:pPr>
        <w:jc w:val="center"/>
        <w:rPr>
          <w:b/>
          <w:bCs/>
        </w:rPr>
      </w:pPr>
      <w:r>
        <w:rPr>
          <w:b/>
          <w:bCs/>
        </w:rPr>
        <w:t xml:space="preserve">Table 4. </w:t>
      </w:r>
      <w:r w:rsidRPr="006737D4">
        <w:rPr>
          <w:b/>
          <w:bCs/>
        </w:rPr>
        <w:t>Quantified Scenario Analysis</w:t>
      </w:r>
    </w:p>
    <w:tbl>
      <w:tblPr>
        <w:tblStyle w:val="TableGrid"/>
        <w:tblW w:w="5000" w:type="pct"/>
        <w:tblLook w:val="04A0" w:firstRow="1" w:lastRow="0" w:firstColumn="1" w:lastColumn="0" w:noHBand="0" w:noVBand="1"/>
      </w:tblPr>
      <w:tblGrid>
        <w:gridCol w:w="2704"/>
        <w:gridCol w:w="1998"/>
        <w:gridCol w:w="2332"/>
        <w:gridCol w:w="1982"/>
      </w:tblGrid>
      <w:tr w:rsidR="006737D4" w:rsidRPr="006737D4" w14:paraId="00ECABBB" w14:textId="77777777" w:rsidTr="006737D4">
        <w:tc>
          <w:tcPr>
            <w:tcW w:w="1500" w:type="pct"/>
            <w:vAlign w:val="center"/>
            <w:hideMark/>
          </w:tcPr>
          <w:p w14:paraId="5ADBD42D" w14:textId="77777777" w:rsidR="006737D4" w:rsidRPr="006737D4" w:rsidRDefault="006737D4" w:rsidP="006737D4">
            <w:pPr>
              <w:jc w:val="center"/>
              <w:rPr>
                <w:b/>
                <w:bCs/>
              </w:rPr>
            </w:pPr>
            <w:r w:rsidRPr="006737D4">
              <w:rPr>
                <w:b/>
                <w:bCs/>
              </w:rPr>
              <w:t>Indicator</w:t>
            </w:r>
          </w:p>
        </w:tc>
        <w:tc>
          <w:tcPr>
            <w:tcW w:w="1108" w:type="pct"/>
            <w:vAlign w:val="center"/>
            <w:hideMark/>
          </w:tcPr>
          <w:p w14:paraId="3E6799F1" w14:textId="77777777" w:rsidR="006737D4" w:rsidRPr="006737D4" w:rsidRDefault="006737D4" w:rsidP="006737D4">
            <w:pPr>
              <w:jc w:val="center"/>
              <w:rPr>
                <w:b/>
                <w:bCs/>
              </w:rPr>
            </w:pPr>
            <w:r w:rsidRPr="006737D4">
              <w:rPr>
                <w:b/>
                <w:bCs/>
              </w:rPr>
              <w:t>Best case</w:t>
            </w:r>
          </w:p>
        </w:tc>
        <w:tc>
          <w:tcPr>
            <w:tcW w:w="1293" w:type="pct"/>
            <w:vAlign w:val="center"/>
            <w:hideMark/>
          </w:tcPr>
          <w:p w14:paraId="27897E74" w14:textId="77777777" w:rsidR="006737D4" w:rsidRPr="006737D4" w:rsidRDefault="006737D4" w:rsidP="006737D4">
            <w:pPr>
              <w:jc w:val="center"/>
              <w:rPr>
                <w:b/>
                <w:bCs/>
              </w:rPr>
            </w:pPr>
            <w:r w:rsidRPr="006737D4">
              <w:rPr>
                <w:b/>
                <w:bCs/>
              </w:rPr>
              <w:t>Base case</w:t>
            </w:r>
          </w:p>
        </w:tc>
        <w:tc>
          <w:tcPr>
            <w:tcW w:w="1099" w:type="pct"/>
            <w:vAlign w:val="center"/>
            <w:hideMark/>
          </w:tcPr>
          <w:p w14:paraId="60C5020E" w14:textId="77777777" w:rsidR="006737D4" w:rsidRPr="006737D4" w:rsidRDefault="006737D4" w:rsidP="006737D4">
            <w:pPr>
              <w:jc w:val="center"/>
              <w:rPr>
                <w:b/>
                <w:bCs/>
              </w:rPr>
            </w:pPr>
            <w:r w:rsidRPr="006737D4">
              <w:rPr>
                <w:b/>
                <w:bCs/>
              </w:rPr>
              <w:t>Worst case</w:t>
            </w:r>
          </w:p>
        </w:tc>
      </w:tr>
      <w:tr w:rsidR="006737D4" w:rsidRPr="006737D4" w14:paraId="56606821" w14:textId="77777777" w:rsidTr="006737D4">
        <w:tc>
          <w:tcPr>
            <w:tcW w:w="1500" w:type="pct"/>
            <w:vAlign w:val="center"/>
            <w:hideMark/>
          </w:tcPr>
          <w:p w14:paraId="1284D3D8" w14:textId="77777777" w:rsidR="006737D4" w:rsidRPr="006737D4" w:rsidRDefault="006737D4" w:rsidP="006737D4">
            <w:pPr>
              <w:jc w:val="center"/>
            </w:pPr>
            <w:r w:rsidRPr="006737D4">
              <w:t>Revenue growth</w:t>
            </w:r>
          </w:p>
        </w:tc>
        <w:tc>
          <w:tcPr>
            <w:tcW w:w="1108" w:type="pct"/>
            <w:vAlign w:val="center"/>
            <w:hideMark/>
          </w:tcPr>
          <w:p w14:paraId="0CBFADB6" w14:textId="77777777" w:rsidR="006737D4" w:rsidRPr="006737D4" w:rsidRDefault="006737D4" w:rsidP="006737D4">
            <w:pPr>
              <w:jc w:val="center"/>
            </w:pPr>
            <w:r w:rsidRPr="006737D4">
              <w:t>35%</w:t>
            </w:r>
          </w:p>
        </w:tc>
        <w:tc>
          <w:tcPr>
            <w:tcW w:w="1293" w:type="pct"/>
            <w:vAlign w:val="center"/>
            <w:hideMark/>
          </w:tcPr>
          <w:p w14:paraId="3077CC7D" w14:textId="77777777" w:rsidR="006737D4" w:rsidRPr="006737D4" w:rsidRDefault="006737D4" w:rsidP="006737D4">
            <w:pPr>
              <w:jc w:val="center"/>
            </w:pPr>
            <w:r w:rsidRPr="006737D4">
              <w:t>25%</w:t>
            </w:r>
          </w:p>
        </w:tc>
        <w:tc>
          <w:tcPr>
            <w:tcW w:w="1099" w:type="pct"/>
            <w:vAlign w:val="center"/>
            <w:hideMark/>
          </w:tcPr>
          <w:p w14:paraId="7EEC9D6D" w14:textId="77777777" w:rsidR="006737D4" w:rsidRPr="006737D4" w:rsidRDefault="006737D4" w:rsidP="006737D4">
            <w:pPr>
              <w:jc w:val="center"/>
            </w:pPr>
            <w:r w:rsidRPr="006737D4">
              <w:t>10%</w:t>
            </w:r>
          </w:p>
        </w:tc>
      </w:tr>
      <w:tr w:rsidR="006737D4" w:rsidRPr="006737D4" w14:paraId="4F943A53" w14:textId="77777777" w:rsidTr="006737D4">
        <w:tc>
          <w:tcPr>
            <w:tcW w:w="1500" w:type="pct"/>
            <w:vAlign w:val="center"/>
            <w:hideMark/>
          </w:tcPr>
          <w:p w14:paraId="4B879015" w14:textId="77777777" w:rsidR="006737D4" w:rsidRPr="006737D4" w:rsidRDefault="006737D4" w:rsidP="006737D4">
            <w:pPr>
              <w:jc w:val="center"/>
            </w:pPr>
            <w:r w:rsidRPr="006737D4">
              <w:t>COGS</w:t>
            </w:r>
          </w:p>
        </w:tc>
        <w:tc>
          <w:tcPr>
            <w:tcW w:w="1108" w:type="pct"/>
            <w:vAlign w:val="center"/>
            <w:hideMark/>
          </w:tcPr>
          <w:p w14:paraId="2AAF4428" w14:textId="77777777" w:rsidR="006737D4" w:rsidRPr="006737D4" w:rsidRDefault="006737D4" w:rsidP="006737D4">
            <w:pPr>
              <w:jc w:val="center"/>
            </w:pPr>
            <w:r w:rsidRPr="006737D4">
              <w:t>35%</w:t>
            </w:r>
          </w:p>
        </w:tc>
        <w:tc>
          <w:tcPr>
            <w:tcW w:w="1293" w:type="pct"/>
            <w:vAlign w:val="center"/>
            <w:hideMark/>
          </w:tcPr>
          <w:p w14:paraId="20D673CC" w14:textId="77777777" w:rsidR="006737D4" w:rsidRPr="006737D4" w:rsidRDefault="006737D4" w:rsidP="006737D4">
            <w:pPr>
              <w:jc w:val="center"/>
            </w:pPr>
            <w:r w:rsidRPr="006737D4">
              <w:t>40%</w:t>
            </w:r>
          </w:p>
        </w:tc>
        <w:tc>
          <w:tcPr>
            <w:tcW w:w="1099" w:type="pct"/>
            <w:vAlign w:val="center"/>
            <w:hideMark/>
          </w:tcPr>
          <w:p w14:paraId="5E25149A" w14:textId="77777777" w:rsidR="006737D4" w:rsidRPr="006737D4" w:rsidRDefault="006737D4" w:rsidP="006737D4">
            <w:pPr>
              <w:jc w:val="center"/>
            </w:pPr>
            <w:r w:rsidRPr="006737D4">
              <w:t>45%</w:t>
            </w:r>
          </w:p>
        </w:tc>
      </w:tr>
      <w:tr w:rsidR="006737D4" w:rsidRPr="006737D4" w14:paraId="7B45736B" w14:textId="77777777" w:rsidTr="006737D4">
        <w:tc>
          <w:tcPr>
            <w:tcW w:w="1500" w:type="pct"/>
            <w:vAlign w:val="center"/>
            <w:hideMark/>
          </w:tcPr>
          <w:p w14:paraId="048E6EF4" w14:textId="77777777" w:rsidR="006737D4" w:rsidRPr="006737D4" w:rsidRDefault="006737D4" w:rsidP="006737D4">
            <w:pPr>
              <w:jc w:val="center"/>
            </w:pPr>
            <w:proofErr w:type="spellStart"/>
            <w:r w:rsidRPr="006737D4">
              <w:t>Opex</w:t>
            </w:r>
            <w:proofErr w:type="spellEnd"/>
            <w:r w:rsidRPr="006737D4">
              <w:t xml:space="preserve"> growth</w:t>
            </w:r>
          </w:p>
        </w:tc>
        <w:tc>
          <w:tcPr>
            <w:tcW w:w="1108" w:type="pct"/>
            <w:vAlign w:val="center"/>
            <w:hideMark/>
          </w:tcPr>
          <w:p w14:paraId="67433039" w14:textId="77777777" w:rsidR="006737D4" w:rsidRPr="006737D4" w:rsidRDefault="006737D4" w:rsidP="006737D4">
            <w:pPr>
              <w:jc w:val="center"/>
            </w:pPr>
            <w:r w:rsidRPr="006737D4">
              <w:t>4%</w:t>
            </w:r>
          </w:p>
        </w:tc>
        <w:tc>
          <w:tcPr>
            <w:tcW w:w="1293" w:type="pct"/>
            <w:vAlign w:val="center"/>
            <w:hideMark/>
          </w:tcPr>
          <w:p w14:paraId="179DF3A5" w14:textId="77777777" w:rsidR="006737D4" w:rsidRPr="006737D4" w:rsidRDefault="006737D4" w:rsidP="006737D4">
            <w:pPr>
              <w:jc w:val="center"/>
            </w:pPr>
            <w:r w:rsidRPr="006737D4">
              <w:t>5%</w:t>
            </w:r>
          </w:p>
        </w:tc>
        <w:tc>
          <w:tcPr>
            <w:tcW w:w="1099" w:type="pct"/>
            <w:vAlign w:val="center"/>
            <w:hideMark/>
          </w:tcPr>
          <w:p w14:paraId="2198BADD" w14:textId="77777777" w:rsidR="006737D4" w:rsidRPr="006737D4" w:rsidRDefault="006737D4" w:rsidP="006737D4">
            <w:pPr>
              <w:jc w:val="center"/>
            </w:pPr>
            <w:r w:rsidRPr="006737D4">
              <w:t>8%</w:t>
            </w:r>
          </w:p>
        </w:tc>
      </w:tr>
      <w:tr w:rsidR="006737D4" w:rsidRPr="006737D4" w14:paraId="622F742E" w14:textId="77777777" w:rsidTr="006737D4">
        <w:tc>
          <w:tcPr>
            <w:tcW w:w="1500" w:type="pct"/>
            <w:vAlign w:val="center"/>
            <w:hideMark/>
          </w:tcPr>
          <w:p w14:paraId="3269C67C" w14:textId="77777777" w:rsidR="006737D4" w:rsidRPr="006737D4" w:rsidRDefault="006737D4" w:rsidP="006737D4">
            <w:pPr>
              <w:jc w:val="center"/>
            </w:pPr>
            <w:r w:rsidRPr="006737D4">
              <w:t>Year 3 NPAT</w:t>
            </w:r>
          </w:p>
        </w:tc>
        <w:tc>
          <w:tcPr>
            <w:tcW w:w="1108" w:type="pct"/>
            <w:vAlign w:val="center"/>
            <w:hideMark/>
          </w:tcPr>
          <w:p w14:paraId="1EF04B35" w14:textId="77777777" w:rsidR="006737D4" w:rsidRPr="006737D4" w:rsidRDefault="006737D4" w:rsidP="006737D4">
            <w:pPr>
              <w:jc w:val="center"/>
            </w:pPr>
            <w:r w:rsidRPr="006737D4">
              <w:t>£67,803</w:t>
            </w:r>
          </w:p>
        </w:tc>
        <w:tc>
          <w:tcPr>
            <w:tcW w:w="1293" w:type="pct"/>
            <w:vAlign w:val="center"/>
            <w:hideMark/>
          </w:tcPr>
          <w:p w14:paraId="0381E0A9" w14:textId="77777777" w:rsidR="006737D4" w:rsidRPr="006737D4" w:rsidRDefault="006737D4" w:rsidP="006737D4">
            <w:pPr>
              <w:jc w:val="center"/>
            </w:pPr>
            <w:r w:rsidRPr="006737D4">
              <w:t>£33,690</w:t>
            </w:r>
          </w:p>
        </w:tc>
        <w:tc>
          <w:tcPr>
            <w:tcW w:w="1099" w:type="pct"/>
            <w:vAlign w:val="center"/>
            <w:hideMark/>
          </w:tcPr>
          <w:p w14:paraId="289473E9" w14:textId="77777777" w:rsidR="006737D4" w:rsidRPr="006737D4" w:rsidRDefault="006737D4" w:rsidP="006737D4">
            <w:pPr>
              <w:jc w:val="center"/>
            </w:pPr>
            <w:r w:rsidRPr="006737D4">
              <w:t>−£7,158</w:t>
            </w:r>
          </w:p>
        </w:tc>
      </w:tr>
      <w:tr w:rsidR="006737D4" w:rsidRPr="006737D4" w14:paraId="03DBDEE7" w14:textId="77777777" w:rsidTr="006737D4">
        <w:tc>
          <w:tcPr>
            <w:tcW w:w="1500" w:type="pct"/>
            <w:vAlign w:val="center"/>
            <w:hideMark/>
          </w:tcPr>
          <w:p w14:paraId="5188EDF0" w14:textId="77777777" w:rsidR="006737D4" w:rsidRPr="006737D4" w:rsidRDefault="006737D4" w:rsidP="006737D4">
            <w:pPr>
              <w:jc w:val="center"/>
            </w:pPr>
            <w:r w:rsidRPr="006737D4">
              <w:t>Year 3 closing cash</w:t>
            </w:r>
          </w:p>
        </w:tc>
        <w:tc>
          <w:tcPr>
            <w:tcW w:w="1108" w:type="pct"/>
            <w:vAlign w:val="center"/>
            <w:hideMark/>
          </w:tcPr>
          <w:p w14:paraId="0D1CF93E" w14:textId="77777777" w:rsidR="006737D4" w:rsidRPr="006737D4" w:rsidRDefault="006737D4" w:rsidP="006737D4">
            <w:pPr>
              <w:jc w:val="center"/>
            </w:pPr>
            <w:r w:rsidRPr="006737D4">
              <w:t>£90,934</w:t>
            </w:r>
          </w:p>
        </w:tc>
        <w:tc>
          <w:tcPr>
            <w:tcW w:w="1293" w:type="pct"/>
            <w:vAlign w:val="center"/>
            <w:hideMark/>
          </w:tcPr>
          <w:p w14:paraId="2B9265F7" w14:textId="77777777" w:rsidR="006737D4" w:rsidRPr="006737D4" w:rsidRDefault="006737D4" w:rsidP="006737D4">
            <w:pPr>
              <w:jc w:val="center"/>
            </w:pPr>
            <w:r w:rsidRPr="006737D4">
              <w:t>£31,873</w:t>
            </w:r>
          </w:p>
        </w:tc>
        <w:tc>
          <w:tcPr>
            <w:tcW w:w="1099" w:type="pct"/>
            <w:vAlign w:val="center"/>
            <w:hideMark/>
          </w:tcPr>
          <w:p w14:paraId="2A5E6F2D" w14:textId="77777777" w:rsidR="006737D4" w:rsidRPr="006737D4" w:rsidRDefault="006737D4" w:rsidP="006737D4">
            <w:pPr>
              <w:jc w:val="center"/>
            </w:pPr>
            <w:r w:rsidRPr="006737D4">
              <w:t>−£42,264</w:t>
            </w:r>
          </w:p>
        </w:tc>
      </w:tr>
      <w:tr w:rsidR="006737D4" w:rsidRPr="006737D4" w14:paraId="19C913CA" w14:textId="77777777" w:rsidTr="006737D4">
        <w:tc>
          <w:tcPr>
            <w:tcW w:w="1500" w:type="pct"/>
            <w:vAlign w:val="center"/>
            <w:hideMark/>
          </w:tcPr>
          <w:p w14:paraId="2502F752" w14:textId="77777777" w:rsidR="006737D4" w:rsidRPr="006737D4" w:rsidRDefault="006737D4" w:rsidP="006737D4">
            <w:pPr>
              <w:jc w:val="center"/>
            </w:pPr>
            <w:r w:rsidRPr="006737D4">
              <w:t>Break-even orders</w:t>
            </w:r>
          </w:p>
        </w:tc>
        <w:tc>
          <w:tcPr>
            <w:tcW w:w="1108" w:type="pct"/>
            <w:vAlign w:val="center"/>
            <w:hideMark/>
          </w:tcPr>
          <w:p w14:paraId="7DD6CF7D" w14:textId="77777777" w:rsidR="006737D4" w:rsidRPr="006737D4" w:rsidRDefault="006737D4" w:rsidP="006737D4">
            <w:pPr>
              <w:jc w:val="center"/>
            </w:pPr>
            <w:r w:rsidRPr="006737D4">
              <w:t>3,405</w:t>
            </w:r>
          </w:p>
        </w:tc>
        <w:tc>
          <w:tcPr>
            <w:tcW w:w="1293" w:type="pct"/>
            <w:vAlign w:val="center"/>
            <w:hideMark/>
          </w:tcPr>
          <w:p w14:paraId="34E2F249" w14:textId="77777777" w:rsidR="006737D4" w:rsidRPr="006737D4" w:rsidRDefault="006737D4" w:rsidP="006737D4">
            <w:pPr>
              <w:jc w:val="center"/>
            </w:pPr>
            <w:r w:rsidRPr="006737D4">
              <w:t>3,689</w:t>
            </w:r>
          </w:p>
        </w:tc>
        <w:tc>
          <w:tcPr>
            <w:tcW w:w="1099" w:type="pct"/>
            <w:vAlign w:val="center"/>
            <w:hideMark/>
          </w:tcPr>
          <w:p w14:paraId="0175A860" w14:textId="77777777" w:rsidR="006737D4" w:rsidRPr="006737D4" w:rsidRDefault="006737D4" w:rsidP="006737D4">
            <w:pPr>
              <w:jc w:val="center"/>
            </w:pPr>
            <w:r w:rsidRPr="006737D4">
              <w:t>4,024</w:t>
            </w:r>
          </w:p>
        </w:tc>
      </w:tr>
      <w:tr w:rsidR="006737D4" w:rsidRPr="006737D4" w14:paraId="0CCF2EB3" w14:textId="77777777" w:rsidTr="006737D4">
        <w:tc>
          <w:tcPr>
            <w:tcW w:w="1500" w:type="pct"/>
            <w:vAlign w:val="center"/>
            <w:hideMark/>
          </w:tcPr>
          <w:p w14:paraId="5208E69A" w14:textId="77777777" w:rsidR="006737D4" w:rsidRPr="006737D4" w:rsidRDefault="006737D4" w:rsidP="006737D4">
            <w:pPr>
              <w:jc w:val="center"/>
            </w:pPr>
            <w:r w:rsidRPr="006737D4">
              <w:t>Year 3 net margin</w:t>
            </w:r>
          </w:p>
        </w:tc>
        <w:tc>
          <w:tcPr>
            <w:tcW w:w="1108" w:type="pct"/>
            <w:vAlign w:val="center"/>
            <w:hideMark/>
          </w:tcPr>
          <w:p w14:paraId="3A838C75" w14:textId="77777777" w:rsidR="006737D4" w:rsidRPr="006737D4" w:rsidRDefault="006737D4" w:rsidP="006737D4">
            <w:pPr>
              <w:jc w:val="center"/>
            </w:pPr>
            <w:r w:rsidRPr="006737D4">
              <w:t>23.0%</w:t>
            </w:r>
          </w:p>
        </w:tc>
        <w:tc>
          <w:tcPr>
            <w:tcW w:w="1293" w:type="pct"/>
            <w:vAlign w:val="center"/>
            <w:hideMark/>
          </w:tcPr>
          <w:p w14:paraId="63B032E1" w14:textId="77777777" w:rsidR="006737D4" w:rsidRPr="006737D4" w:rsidRDefault="006737D4" w:rsidP="006737D4">
            <w:pPr>
              <w:jc w:val="center"/>
            </w:pPr>
            <w:r w:rsidRPr="006737D4">
              <w:t>13.3%</w:t>
            </w:r>
          </w:p>
        </w:tc>
        <w:tc>
          <w:tcPr>
            <w:tcW w:w="1099" w:type="pct"/>
            <w:vAlign w:val="center"/>
            <w:hideMark/>
          </w:tcPr>
          <w:p w14:paraId="799CBB6D" w14:textId="77777777" w:rsidR="006737D4" w:rsidRPr="006737D4" w:rsidRDefault="006737D4" w:rsidP="006737D4">
            <w:pPr>
              <w:jc w:val="center"/>
            </w:pPr>
            <w:r w:rsidRPr="006737D4">
              <w:t>−3.6%</w:t>
            </w:r>
          </w:p>
        </w:tc>
      </w:tr>
      <w:tr w:rsidR="006737D4" w:rsidRPr="006737D4" w14:paraId="55B691B0" w14:textId="77777777" w:rsidTr="006737D4">
        <w:tc>
          <w:tcPr>
            <w:tcW w:w="1500" w:type="pct"/>
            <w:vAlign w:val="center"/>
            <w:hideMark/>
          </w:tcPr>
          <w:p w14:paraId="033F444D" w14:textId="77777777" w:rsidR="006737D4" w:rsidRPr="006737D4" w:rsidRDefault="006737D4" w:rsidP="006737D4">
            <w:pPr>
              <w:jc w:val="center"/>
            </w:pPr>
            <w:r w:rsidRPr="006737D4">
              <w:t>Overall implication</w:t>
            </w:r>
          </w:p>
        </w:tc>
        <w:tc>
          <w:tcPr>
            <w:tcW w:w="1108" w:type="pct"/>
            <w:vAlign w:val="center"/>
            <w:hideMark/>
          </w:tcPr>
          <w:p w14:paraId="2D2BE516" w14:textId="77777777" w:rsidR="006737D4" w:rsidRPr="006737D4" w:rsidRDefault="006737D4" w:rsidP="006737D4">
            <w:pPr>
              <w:jc w:val="center"/>
            </w:pPr>
            <w:r w:rsidRPr="006737D4">
              <w:t>Strong upside</w:t>
            </w:r>
          </w:p>
        </w:tc>
        <w:tc>
          <w:tcPr>
            <w:tcW w:w="1293" w:type="pct"/>
            <w:vAlign w:val="center"/>
            <w:hideMark/>
          </w:tcPr>
          <w:p w14:paraId="08004FCB" w14:textId="77777777" w:rsidR="006737D4" w:rsidRPr="006737D4" w:rsidRDefault="006737D4" w:rsidP="006737D4">
            <w:pPr>
              <w:jc w:val="center"/>
            </w:pPr>
            <w:r w:rsidRPr="006737D4">
              <w:t>Viable base case</w:t>
            </w:r>
          </w:p>
        </w:tc>
        <w:tc>
          <w:tcPr>
            <w:tcW w:w="1099" w:type="pct"/>
            <w:vAlign w:val="center"/>
            <w:hideMark/>
          </w:tcPr>
          <w:p w14:paraId="0F01DE37" w14:textId="77777777" w:rsidR="006737D4" w:rsidRPr="006737D4" w:rsidRDefault="006737D4" w:rsidP="006737D4">
            <w:pPr>
              <w:jc w:val="center"/>
            </w:pPr>
            <w:r w:rsidRPr="006737D4">
              <w:t>Liquidity risk</w:t>
            </w:r>
          </w:p>
        </w:tc>
      </w:tr>
    </w:tbl>
    <w:p w14:paraId="17B04F3B" w14:textId="4534E620" w:rsidR="00B56077" w:rsidRDefault="00F12411" w:rsidP="00F12411">
      <w:pPr>
        <w:jc w:val="center"/>
      </w:pPr>
      <w:r>
        <w:rPr>
          <w:noProof/>
        </w:rPr>
        <w:lastRenderedPageBreak/>
        <w:drawing>
          <wp:inline distT="0" distB="0" distL="0" distR="0" wp14:anchorId="33683A5A" wp14:editId="4F7A99AD">
            <wp:extent cx="4189593" cy="2952699"/>
            <wp:effectExtent l="0" t="0" r="1905" b="635"/>
            <wp:docPr id="2050227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02300" cy="2961655"/>
                    </a:xfrm>
                    <a:prstGeom prst="rect">
                      <a:avLst/>
                    </a:prstGeom>
                    <a:noFill/>
                  </pic:spPr>
                </pic:pic>
              </a:graphicData>
            </a:graphic>
          </wp:inline>
        </w:drawing>
      </w:r>
    </w:p>
    <w:p w14:paraId="28F4F08A" w14:textId="1FF5977C" w:rsidR="00F12411" w:rsidRDefault="00F12411" w:rsidP="00F12411">
      <w:pPr>
        <w:jc w:val="center"/>
        <w:rPr>
          <w:b/>
          <w:bCs/>
        </w:rPr>
      </w:pPr>
      <w:r>
        <w:rPr>
          <w:b/>
          <w:bCs/>
        </w:rPr>
        <w:t xml:space="preserve">Fig. 5. </w:t>
      </w:r>
      <w:r w:rsidRPr="00F12411">
        <w:rPr>
          <w:b/>
          <w:bCs/>
        </w:rPr>
        <w:t>Year 3 Net Profit After Tax by Scenario</w:t>
      </w:r>
    </w:p>
    <w:p w14:paraId="31482FDB" w14:textId="3D1FC6DF" w:rsidR="00F12411" w:rsidRPr="00F12411" w:rsidRDefault="00F12411" w:rsidP="00F12411">
      <w:pPr>
        <w:jc w:val="center"/>
      </w:pPr>
      <w:r>
        <w:t>(Source: Generated in Excel)</w:t>
      </w:r>
    </w:p>
    <w:p w14:paraId="25222738" w14:textId="066E10AD" w:rsidR="00744A83" w:rsidRDefault="00A261C3" w:rsidP="00A261C3">
      <w:r>
        <w:t xml:space="preserve">The </w:t>
      </w:r>
      <w:r w:rsidR="005D3690">
        <w:t>worst-case</w:t>
      </w:r>
      <w:r>
        <w:t xml:space="preserve"> scenario is based on the following assumptions: Annual revenue growth will be 10%</w:t>
      </w:r>
      <w:r w:rsidR="005D3690">
        <w:t>,</w:t>
      </w:r>
      <w:r>
        <w:t xml:space="preserve"> annual growth </w:t>
      </w:r>
      <w:r w:rsidR="005D3690">
        <w:t>in</w:t>
      </w:r>
      <w:r>
        <w:t xml:space="preserve"> cost of goods will be 45%</w:t>
      </w:r>
      <w:r w:rsidR="005D3690">
        <w:t>, and</w:t>
      </w:r>
      <w:r>
        <w:t xml:space="preserve"> annual growth in operating costs will be 8%. However, the net profit after tax for Year 3 is around –£7,158 and closing cash is around –£42,264; the break-even number of orders increases to around 4,024.</w:t>
      </w:r>
    </w:p>
    <w:p w14:paraId="0D3CA88C" w14:textId="52DDD0C3" w:rsidR="00744A83" w:rsidRDefault="00744A83" w:rsidP="00744A83">
      <w:pPr>
        <w:jc w:val="center"/>
      </w:pPr>
      <w:r>
        <w:rPr>
          <w:noProof/>
        </w:rPr>
        <w:drawing>
          <wp:inline distT="0" distB="0" distL="0" distR="0" wp14:anchorId="153FA013" wp14:editId="15C61F9A">
            <wp:extent cx="4239011" cy="2831710"/>
            <wp:effectExtent l="0" t="0" r="9525" b="6985"/>
            <wp:docPr id="51343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5109" cy="2835783"/>
                    </a:xfrm>
                    <a:prstGeom prst="rect">
                      <a:avLst/>
                    </a:prstGeom>
                    <a:noFill/>
                  </pic:spPr>
                </pic:pic>
              </a:graphicData>
            </a:graphic>
          </wp:inline>
        </w:drawing>
      </w:r>
    </w:p>
    <w:p w14:paraId="350E84AB" w14:textId="786D1A00" w:rsidR="00744A83" w:rsidRDefault="00744A83" w:rsidP="00744A83">
      <w:pPr>
        <w:jc w:val="center"/>
        <w:rPr>
          <w:b/>
          <w:bCs/>
        </w:rPr>
      </w:pPr>
      <w:r>
        <w:rPr>
          <w:b/>
          <w:bCs/>
        </w:rPr>
        <w:t xml:space="preserve">Fig. 6. </w:t>
      </w:r>
      <w:r w:rsidRPr="00744A83">
        <w:rPr>
          <w:b/>
          <w:bCs/>
        </w:rPr>
        <w:t>Break-Even Analysis</w:t>
      </w:r>
    </w:p>
    <w:p w14:paraId="33EFCBBF" w14:textId="05C384A5" w:rsidR="00744A83" w:rsidRPr="00744A83" w:rsidRDefault="00744A83" w:rsidP="00744A83">
      <w:pPr>
        <w:jc w:val="center"/>
      </w:pPr>
      <w:r>
        <w:lastRenderedPageBreak/>
        <w:t>(Source: Generated in  Excel)</w:t>
      </w:r>
    </w:p>
    <w:p w14:paraId="0F329C6E" w14:textId="259CEF4A" w:rsidR="007C49BA" w:rsidRPr="007C49BA" w:rsidRDefault="00744A83" w:rsidP="00A261C3">
      <w:r>
        <w:t xml:space="preserve">Fig. 6 demonstrates the break-even analysis curve. </w:t>
      </w:r>
      <w:r w:rsidR="00A261C3">
        <w:t>The scenarios illustrate that growth in sales and cost control are the real keys to viability, and it is important to have sufficient liquidity to ensure downside risk is not imposed on investors.</w:t>
      </w:r>
      <w:r w:rsidR="007C49BA">
        <w:t xml:space="preserve"> </w:t>
      </w:r>
    </w:p>
    <w:p w14:paraId="5A17C006" w14:textId="77A107E0" w:rsidR="0083455F" w:rsidRDefault="0083455F" w:rsidP="003B0A18">
      <w:pPr>
        <w:pStyle w:val="Heading1"/>
      </w:pPr>
      <w:bookmarkStart w:id="6" w:name="_Toc240105946"/>
      <w:r w:rsidRPr="0083455F">
        <w:t>Legal Structure and Requirements</w:t>
      </w:r>
      <w:bookmarkEnd w:id="6"/>
    </w:p>
    <w:p w14:paraId="0FBD876C" w14:textId="7D2AAB53" w:rsidR="00AB6969" w:rsidRDefault="00AB6969" w:rsidP="003B0A18">
      <w:pPr>
        <w:pStyle w:val="Heading2"/>
        <w:numPr>
          <w:ilvl w:val="1"/>
          <w:numId w:val="3"/>
        </w:numPr>
      </w:pPr>
      <w:bookmarkStart w:id="7" w:name="_Toc240105947"/>
      <w:r>
        <w:t>Legal Structure and Justification</w:t>
      </w:r>
      <w:bookmarkEnd w:id="7"/>
    </w:p>
    <w:p w14:paraId="4453B6BD" w14:textId="013B9996" w:rsidR="00744A83" w:rsidRDefault="00744A83" w:rsidP="00744A83">
      <w:r>
        <w:t>The Cake &amp; Crumb Co. UK should have its incorporated form of business be a private limited company with share capital. This is suitable as the venture needs £90,000 of funding, and it is proposed that £40,000 of this will come from angels. A limited company is a separate legal entity, which means that the assets, liabilities and contracts of the company are separate from the founder's personal assets, liabilities and contracts. It thus typically offers a limited liability framework and establishes a formal means to bring in external investments.</w:t>
      </w:r>
    </w:p>
    <w:p w14:paraId="5A964F38" w14:textId="0C908EDB" w:rsidR="00744A83" w:rsidRDefault="00744A83" w:rsidP="00744A83">
      <w:r>
        <w:t>A sole trader structure would be simpler, but would offer less business vs personal liability separation and would not be well suited to the proposed angel investment. Shared ownership and shared governance would be added to the mix of considerations in a partnership, but would lack the simplicity of a corporate structure</w:t>
      </w:r>
      <w:r w:rsidR="00634A13">
        <w:t xml:space="preserve"> (Debellis </w:t>
      </w:r>
      <w:r w:rsidR="00634A13">
        <w:rPr>
          <w:i/>
          <w:iCs/>
        </w:rPr>
        <w:t xml:space="preserve">et al., </w:t>
      </w:r>
      <w:r w:rsidR="00634A13">
        <w:t>2024)</w:t>
      </w:r>
      <w:r>
        <w:t>. A private company limited by shares thus provides an appropriate balance of the protection of limited liability and the readiness for investment and future growth.</w:t>
      </w:r>
    </w:p>
    <w:p w14:paraId="11E960D0" w14:textId="3155C8B5" w:rsidR="00AB6969" w:rsidRDefault="00744A83" w:rsidP="00744A83">
      <w:r>
        <w:t>A company must be incorporated with Companies House and have directors, shareholders, people with significant control (PSC), registered office information, and company constitutional documents. There are a minimum of three members of the governance body as stipulated by UK</w:t>
      </w:r>
      <w:r w:rsidR="00634A13">
        <w:t xml:space="preserve"> government law, </w:t>
      </w:r>
      <w:r>
        <w:t>one being a director of the company legally responsible for running the company and ensuring that accounts and reports are prepared</w:t>
      </w:r>
      <w:r w:rsidR="00634A13">
        <w:t xml:space="preserve"> (</w:t>
      </w:r>
      <w:proofErr w:type="spellStart"/>
      <w:r w:rsidR="00634A13" w:rsidRPr="00634A13">
        <w:t>Primec</w:t>
      </w:r>
      <w:proofErr w:type="spellEnd"/>
      <w:r w:rsidR="00634A13" w:rsidRPr="00634A13">
        <w:t xml:space="preserve"> and Belak, 2022</w:t>
      </w:r>
      <w:r w:rsidR="00634A13">
        <w:t>)</w:t>
      </w:r>
      <w:r>
        <w:t>. The £40,000 angel investment should be accompanied by investment and shareholder documentation covering the ownership and voting rights, as well as investor protections.</w:t>
      </w:r>
    </w:p>
    <w:p w14:paraId="586079A8" w14:textId="203338AD" w:rsidR="00F2692E" w:rsidRDefault="00F2692E" w:rsidP="003B0A18">
      <w:pPr>
        <w:pStyle w:val="Heading2"/>
        <w:numPr>
          <w:ilvl w:val="1"/>
          <w:numId w:val="3"/>
        </w:numPr>
      </w:pPr>
      <w:bookmarkStart w:id="8" w:name="_Toc240105948"/>
      <w:r>
        <w:t>Legal and Regulatory Obligations</w:t>
      </w:r>
      <w:bookmarkEnd w:id="8"/>
    </w:p>
    <w:p w14:paraId="0C56E403" w14:textId="068C36AE" w:rsidR="00744A83" w:rsidRDefault="00744A83" w:rsidP="00744A83">
      <w:r>
        <w:t>The bakery has to comply with food-business, consumer, employment</w:t>
      </w:r>
      <w:r w:rsidR="000427CC">
        <w:t>,</w:t>
      </w:r>
      <w:r>
        <w:t xml:space="preserve"> data-protection</w:t>
      </w:r>
      <w:r w:rsidR="000427CC">
        <w:t>,</w:t>
      </w:r>
      <w:r>
        <w:t xml:space="preserve"> and financial requirements as a producer and seller of online and offline food. The first step is to </w:t>
      </w:r>
      <w:r>
        <w:lastRenderedPageBreak/>
        <w:t xml:space="preserve">register as a food business with the local authority </w:t>
      </w:r>
      <w:r w:rsidR="000427CC">
        <w:t>before</w:t>
      </w:r>
      <w:r>
        <w:t xml:space="preserve"> opening. Counselling from </w:t>
      </w:r>
      <w:r w:rsidR="000427CC">
        <w:t xml:space="preserve">the government </w:t>
      </w:r>
      <w:r>
        <w:t>must be adhered to by the food business</w:t>
      </w:r>
      <w:r w:rsidR="000427CC">
        <w:t>,</w:t>
      </w:r>
      <w:r>
        <w:t xml:space="preserve"> and the operator has a responsibility for food safety. Registration and food-safety procedures will therefore be prerequisites – not optional administration.</w:t>
      </w:r>
    </w:p>
    <w:p w14:paraId="0BDA462D" w14:textId="24202446" w:rsidR="00980DD9" w:rsidRPr="000427CC" w:rsidRDefault="000427CC" w:rsidP="000427CC">
      <w:pPr>
        <w:jc w:val="center"/>
        <w:rPr>
          <w:b/>
          <w:bCs/>
        </w:rPr>
      </w:pPr>
      <w:r>
        <w:rPr>
          <w:b/>
          <w:bCs/>
        </w:rPr>
        <w:t xml:space="preserve">Table 5. </w:t>
      </w:r>
      <w:r w:rsidRPr="000427CC">
        <w:rPr>
          <w:b/>
          <w:bCs/>
        </w:rPr>
        <w:t>Key Legal and Regulatory Obligations</w:t>
      </w:r>
    </w:p>
    <w:tbl>
      <w:tblPr>
        <w:tblStyle w:val="TableGrid"/>
        <w:tblW w:w="0" w:type="auto"/>
        <w:tblLook w:val="04A0" w:firstRow="1" w:lastRow="0" w:firstColumn="1" w:lastColumn="0" w:noHBand="0" w:noVBand="1"/>
      </w:tblPr>
      <w:tblGrid>
        <w:gridCol w:w="2063"/>
        <w:gridCol w:w="3720"/>
        <w:gridCol w:w="3233"/>
      </w:tblGrid>
      <w:tr w:rsidR="00980DD9" w:rsidRPr="00980DD9" w14:paraId="3468A8DA" w14:textId="77777777" w:rsidTr="00980DD9">
        <w:tc>
          <w:tcPr>
            <w:tcW w:w="0" w:type="auto"/>
            <w:vAlign w:val="center"/>
            <w:hideMark/>
          </w:tcPr>
          <w:p w14:paraId="5B08E477" w14:textId="77777777" w:rsidR="00980DD9" w:rsidRPr="00980DD9" w:rsidRDefault="00980DD9" w:rsidP="00980DD9">
            <w:pPr>
              <w:jc w:val="center"/>
              <w:rPr>
                <w:b/>
                <w:bCs/>
              </w:rPr>
            </w:pPr>
            <w:r w:rsidRPr="00980DD9">
              <w:rPr>
                <w:b/>
                <w:bCs/>
              </w:rPr>
              <w:t>Legal/regulatory area</w:t>
            </w:r>
          </w:p>
        </w:tc>
        <w:tc>
          <w:tcPr>
            <w:tcW w:w="0" w:type="auto"/>
            <w:vAlign w:val="center"/>
            <w:hideMark/>
          </w:tcPr>
          <w:p w14:paraId="7F318D8E" w14:textId="77777777" w:rsidR="00980DD9" w:rsidRPr="00980DD9" w:rsidRDefault="00980DD9" w:rsidP="00980DD9">
            <w:pPr>
              <w:jc w:val="center"/>
              <w:rPr>
                <w:b/>
                <w:bCs/>
              </w:rPr>
            </w:pPr>
            <w:r w:rsidRPr="00980DD9">
              <w:rPr>
                <w:b/>
                <w:bCs/>
              </w:rPr>
              <w:t>Requirement for the business</w:t>
            </w:r>
          </w:p>
        </w:tc>
        <w:tc>
          <w:tcPr>
            <w:tcW w:w="0" w:type="auto"/>
            <w:vAlign w:val="center"/>
            <w:hideMark/>
          </w:tcPr>
          <w:p w14:paraId="2B10891B" w14:textId="77777777" w:rsidR="00980DD9" w:rsidRPr="00980DD9" w:rsidRDefault="00980DD9" w:rsidP="00980DD9">
            <w:pPr>
              <w:jc w:val="center"/>
              <w:rPr>
                <w:b/>
                <w:bCs/>
              </w:rPr>
            </w:pPr>
            <w:r w:rsidRPr="00980DD9">
              <w:rPr>
                <w:b/>
                <w:bCs/>
              </w:rPr>
              <w:t>Relevance to viability</w:t>
            </w:r>
          </w:p>
        </w:tc>
      </w:tr>
      <w:tr w:rsidR="00980DD9" w:rsidRPr="00980DD9" w14:paraId="1F1C395E" w14:textId="77777777" w:rsidTr="00980DD9">
        <w:tc>
          <w:tcPr>
            <w:tcW w:w="0" w:type="auto"/>
            <w:vAlign w:val="center"/>
            <w:hideMark/>
          </w:tcPr>
          <w:p w14:paraId="2E227715" w14:textId="77777777" w:rsidR="00980DD9" w:rsidRPr="00980DD9" w:rsidRDefault="00980DD9" w:rsidP="00980DD9">
            <w:pPr>
              <w:jc w:val="center"/>
            </w:pPr>
            <w:r w:rsidRPr="00980DD9">
              <w:t>Company law</w:t>
            </w:r>
          </w:p>
        </w:tc>
        <w:tc>
          <w:tcPr>
            <w:tcW w:w="0" w:type="auto"/>
            <w:hideMark/>
          </w:tcPr>
          <w:p w14:paraId="7B3F29D5" w14:textId="77777777" w:rsidR="00980DD9" w:rsidRPr="00980DD9" w:rsidRDefault="00980DD9" w:rsidP="00980DD9">
            <w:r w:rsidRPr="00980DD9">
              <w:t>Register and maintain the private limited company; maintain statutory records and filings</w:t>
            </w:r>
          </w:p>
        </w:tc>
        <w:tc>
          <w:tcPr>
            <w:tcW w:w="0" w:type="auto"/>
            <w:hideMark/>
          </w:tcPr>
          <w:p w14:paraId="4134BBFA" w14:textId="77777777" w:rsidR="00980DD9" w:rsidRPr="00980DD9" w:rsidRDefault="00980DD9" w:rsidP="00980DD9">
            <w:r w:rsidRPr="00980DD9">
              <w:t>Establishes legal identity and investor governance</w:t>
            </w:r>
          </w:p>
        </w:tc>
      </w:tr>
      <w:tr w:rsidR="00980DD9" w:rsidRPr="00980DD9" w14:paraId="58DA9BAC" w14:textId="77777777" w:rsidTr="00980DD9">
        <w:tc>
          <w:tcPr>
            <w:tcW w:w="0" w:type="auto"/>
            <w:vAlign w:val="center"/>
            <w:hideMark/>
          </w:tcPr>
          <w:p w14:paraId="18D192EF" w14:textId="77777777" w:rsidR="00980DD9" w:rsidRPr="00980DD9" w:rsidRDefault="00980DD9" w:rsidP="00980DD9">
            <w:pPr>
              <w:jc w:val="center"/>
            </w:pPr>
            <w:r w:rsidRPr="00980DD9">
              <w:t>Food-business registration</w:t>
            </w:r>
          </w:p>
        </w:tc>
        <w:tc>
          <w:tcPr>
            <w:tcW w:w="0" w:type="auto"/>
            <w:hideMark/>
          </w:tcPr>
          <w:p w14:paraId="3AFE8EC0" w14:textId="77777777" w:rsidR="00980DD9" w:rsidRPr="00980DD9" w:rsidRDefault="00980DD9" w:rsidP="00980DD9">
            <w:r w:rsidRPr="00980DD9">
              <w:t>Register the bakery with the relevant local authority before trading</w:t>
            </w:r>
          </w:p>
        </w:tc>
        <w:tc>
          <w:tcPr>
            <w:tcW w:w="0" w:type="auto"/>
            <w:hideMark/>
          </w:tcPr>
          <w:p w14:paraId="52B730DE" w14:textId="77777777" w:rsidR="00980DD9" w:rsidRPr="00980DD9" w:rsidRDefault="00980DD9" w:rsidP="00980DD9">
            <w:r w:rsidRPr="00980DD9">
              <w:t>Required before food operations commence</w:t>
            </w:r>
          </w:p>
        </w:tc>
      </w:tr>
      <w:tr w:rsidR="00980DD9" w:rsidRPr="00980DD9" w14:paraId="6ECAFEB0" w14:textId="77777777" w:rsidTr="00980DD9">
        <w:tc>
          <w:tcPr>
            <w:tcW w:w="0" w:type="auto"/>
            <w:vAlign w:val="center"/>
            <w:hideMark/>
          </w:tcPr>
          <w:p w14:paraId="55930C52" w14:textId="77777777" w:rsidR="00980DD9" w:rsidRPr="00980DD9" w:rsidRDefault="00980DD9" w:rsidP="00980DD9">
            <w:pPr>
              <w:jc w:val="center"/>
            </w:pPr>
            <w:r w:rsidRPr="00980DD9">
              <w:t>Food safety</w:t>
            </w:r>
          </w:p>
        </w:tc>
        <w:tc>
          <w:tcPr>
            <w:tcW w:w="0" w:type="auto"/>
            <w:hideMark/>
          </w:tcPr>
          <w:p w14:paraId="054C82C7" w14:textId="77777777" w:rsidR="00980DD9" w:rsidRPr="00980DD9" w:rsidRDefault="00980DD9" w:rsidP="00980DD9">
            <w:r w:rsidRPr="00980DD9">
              <w:t>Implement appropriate food-safety procedures and staff controls</w:t>
            </w:r>
          </w:p>
        </w:tc>
        <w:tc>
          <w:tcPr>
            <w:tcW w:w="0" w:type="auto"/>
            <w:hideMark/>
          </w:tcPr>
          <w:p w14:paraId="6341CFBA" w14:textId="77777777" w:rsidR="00980DD9" w:rsidRPr="00980DD9" w:rsidRDefault="00980DD9" w:rsidP="00980DD9">
            <w:r w:rsidRPr="00980DD9">
              <w:t>Protects customers and reduces operational/reputational risk</w:t>
            </w:r>
          </w:p>
        </w:tc>
      </w:tr>
      <w:tr w:rsidR="00980DD9" w:rsidRPr="00980DD9" w14:paraId="009A891D" w14:textId="77777777" w:rsidTr="00980DD9">
        <w:tc>
          <w:tcPr>
            <w:tcW w:w="0" w:type="auto"/>
            <w:vAlign w:val="center"/>
            <w:hideMark/>
          </w:tcPr>
          <w:p w14:paraId="7C99AA42" w14:textId="77777777" w:rsidR="00980DD9" w:rsidRPr="00980DD9" w:rsidRDefault="00980DD9" w:rsidP="00980DD9">
            <w:pPr>
              <w:jc w:val="center"/>
            </w:pPr>
            <w:r w:rsidRPr="00980DD9">
              <w:t>Allergen management</w:t>
            </w:r>
          </w:p>
        </w:tc>
        <w:tc>
          <w:tcPr>
            <w:tcW w:w="0" w:type="auto"/>
            <w:hideMark/>
          </w:tcPr>
          <w:p w14:paraId="2E259DCA" w14:textId="77777777" w:rsidR="00980DD9" w:rsidRPr="00980DD9" w:rsidRDefault="00980DD9" w:rsidP="00980DD9">
            <w:r w:rsidRPr="00980DD9">
              <w:t>Provide required allergen information and control cross-contamination</w:t>
            </w:r>
          </w:p>
        </w:tc>
        <w:tc>
          <w:tcPr>
            <w:tcW w:w="0" w:type="auto"/>
            <w:hideMark/>
          </w:tcPr>
          <w:p w14:paraId="742312F0" w14:textId="77777777" w:rsidR="00980DD9" w:rsidRPr="00980DD9" w:rsidRDefault="00980DD9" w:rsidP="00980DD9">
            <w:r w:rsidRPr="00980DD9">
              <w:t>Critical because bakery products commonly contain regulated allergens</w:t>
            </w:r>
          </w:p>
        </w:tc>
      </w:tr>
      <w:tr w:rsidR="00980DD9" w:rsidRPr="00980DD9" w14:paraId="3A0E40F7" w14:textId="77777777" w:rsidTr="00980DD9">
        <w:tc>
          <w:tcPr>
            <w:tcW w:w="0" w:type="auto"/>
            <w:vAlign w:val="center"/>
            <w:hideMark/>
          </w:tcPr>
          <w:p w14:paraId="438ABDD4" w14:textId="77777777" w:rsidR="00980DD9" w:rsidRPr="00980DD9" w:rsidRDefault="00980DD9" w:rsidP="00980DD9">
            <w:pPr>
              <w:jc w:val="center"/>
            </w:pPr>
            <w:r w:rsidRPr="00980DD9">
              <w:t>Consumer protection</w:t>
            </w:r>
          </w:p>
        </w:tc>
        <w:tc>
          <w:tcPr>
            <w:tcW w:w="0" w:type="auto"/>
            <w:hideMark/>
          </w:tcPr>
          <w:p w14:paraId="3CA152DF" w14:textId="77777777" w:rsidR="00980DD9" w:rsidRPr="00980DD9" w:rsidRDefault="00980DD9" w:rsidP="00980DD9">
            <w:r w:rsidRPr="00980DD9">
              <w:t>Provide clear product, price, delivery and contractual information</w:t>
            </w:r>
          </w:p>
        </w:tc>
        <w:tc>
          <w:tcPr>
            <w:tcW w:w="0" w:type="auto"/>
            <w:hideMark/>
          </w:tcPr>
          <w:p w14:paraId="13F506B0" w14:textId="77777777" w:rsidR="00980DD9" w:rsidRPr="00980DD9" w:rsidRDefault="00980DD9" w:rsidP="00980DD9">
            <w:r w:rsidRPr="00980DD9">
              <w:t>Reduces disputes and supports customer trust</w:t>
            </w:r>
          </w:p>
        </w:tc>
      </w:tr>
      <w:tr w:rsidR="00980DD9" w:rsidRPr="00980DD9" w14:paraId="6CC45005" w14:textId="77777777" w:rsidTr="00980DD9">
        <w:tc>
          <w:tcPr>
            <w:tcW w:w="0" w:type="auto"/>
            <w:vAlign w:val="center"/>
            <w:hideMark/>
          </w:tcPr>
          <w:p w14:paraId="4FDF11F4" w14:textId="77777777" w:rsidR="00980DD9" w:rsidRPr="00980DD9" w:rsidRDefault="00980DD9" w:rsidP="00980DD9">
            <w:pPr>
              <w:jc w:val="center"/>
            </w:pPr>
            <w:r w:rsidRPr="00980DD9">
              <w:t>Data protection</w:t>
            </w:r>
          </w:p>
        </w:tc>
        <w:tc>
          <w:tcPr>
            <w:tcW w:w="0" w:type="auto"/>
            <w:hideMark/>
          </w:tcPr>
          <w:p w14:paraId="3BC0AFC2" w14:textId="77777777" w:rsidR="00980DD9" w:rsidRPr="00980DD9" w:rsidRDefault="00980DD9" w:rsidP="00980DD9">
            <w:r w:rsidRPr="00980DD9">
              <w:t>Protect customer personal data and provide appropriate privacy information</w:t>
            </w:r>
          </w:p>
        </w:tc>
        <w:tc>
          <w:tcPr>
            <w:tcW w:w="0" w:type="auto"/>
            <w:hideMark/>
          </w:tcPr>
          <w:p w14:paraId="6A237174" w14:textId="77777777" w:rsidR="00980DD9" w:rsidRPr="00980DD9" w:rsidRDefault="00980DD9" w:rsidP="00980DD9">
            <w:r w:rsidRPr="00980DD9">
              <w:t>Essential for online ordering and delivery</w:t>
            </w:r>
          </w:p>
        </w:tc>
      </w:tr>
      <w:tr w:rsidR="00980DD9" w:rsidRPr="00980DD9" w14:paraId="79DFF573" w14:textId="77777777" w:rsidTr="00980DD9">
        <w:tc>
          <w:tcPr>
            <w:tcW w:w="0" w:type="auto"/>
            <w:vAlign w:val="center"/>
            <w:hideMark/>
          </w:tcPr>
          <w:p w14:paraId="423ECAB3" w14:textId="77777777" w:rsidR="00980DD9" w:rsidRPr="00980DD9" w:rsidRDefault="00980DD9" w:rsidP="00980DD9">
            <w:pPr>
              <w:jc w:val="center"/>
            </w:pPr>
            <w:r w:rsidRPr="00980DD9">
              <w:t>Employment</w:t>
            </w:r>
          </w:p>
        </w:tc>
        <w:tc>
          <w:tcPr>
            <w:tcW w:w="0" w:type="auto"/>
            <w:hideMark/>
          </w:tcPr>
          <w:p w14:paraId="7DF30AAB" w14:textId="77777777" w:rsidR="00980DD9" w:rsidRPr="00980DD9" w:rsidRDefault="00980DD9" w:rsidP="00980DD9">
            <w:r w:rsidRPr="00980DD9">
              <w:t>Comply with employment, payroll and workplace requirements</w:t>
            </w:r>
          </w:p>
        </w:tc>
        <w:tc>
          <w:tcPr>
            <w:tcW w:w="0" w:type="auto"/>
            <w:hideMark/>
          </w:tcPr>
          <w:p w14:paraId="6FED338F" w14:textId="77777777" w:rsidR="00980DD9" w:rsidRPr="00980DD9" w:rsidRDefault="00980DD9" w:rsidP="00980DD9">
            <w:r w:rsidRPr="00980DD9">
              <w:t>Reduces workforce and legal risk</w:t>
            </w:r>
          </w:p>
        </w:tc>
      </w:tr>
      <w:tr w:rsidR="00980DD9" w:rsidRPr="00980DD9" w14:paraId="28443C1C" w14:textId="77777777" w:rsidTr="00980DD9">
        <w:tc>
          <w:tcPr>
            <w:tcW w:w="0" w:type="auto"/>
            <w:vAlign w:val="center"/>
            <w:hideMark/>
          </w:tcPr>
          <w:p w14:paraId="1FD82A66" w14:textId="77777777" w:rsidR="00980DD9" w:rsidRPr="00980DD9" w:rsidRDefault="00980DD9" w:rsidP="00980DD9">
            <w:pPr>
              <w:jc w:val="center"/>
            </w:pPr>
            <w:r w:rsidRPr="00980DD9">
              <w:lastRenderedPageBreak/>
              <w:t>Tax/VAT</w:t>
            </w:r>
          </w:p>
        </w:tc>
        <w:tc>
          <w:tcPr>
            <w:tcW w:w="0" w:type="auto"/>
            <w:hideMark/>
          </w:tcPr>
          <w:p w14:paraId="42DF5B01" w14:textId="77777777" w:rsidR="00980DD9" w:rsidRPr="00980DD9" w:rsidRDefault="00980DD9" w:rsidP="00980DD9">
            <w:r w:rsidRPr="00980DD9">
              <w:t>Maintain appropriate records and meet HMRC obligations; monitor VAT registration threshold</w:t>
            </w:r>
          </w:p>
        </w:tc>
        <w:tc>
          <w:tcPr>
            <w:tcW w:w="0" w:type="auto"/>
            <w:hideMark/>
          </w:tcPr>
          <w:p w14:paraId="0DB307F0" w14:textId="77777777" w:rsidR="00980DD9" w:rsidRPr="00980DD9" w:rsidRDefault="00980DD9" w:rsidP="00980DD9">
            <w:r w:rsidRPr="00980DD9">
              <w:t>Protects cash flow and financial compliance</w:t>
            </w:r>
          </w:p>
        </w:tc>
      </w:tr>
      <w:tr w:rsidR="00980DD9" w:rsidRPr="00980DD9" w14:paraId="25E3DE39" w14:textId="77777777" w:rsidTr="00980DD9">
        <w:tc>
          <w:tcPr>
            <w:tcW w:w="0" w:type="auto"/>
            <w:vAlign w:val="center"/>
            <w:hideMark/>
          </w:tcPr>
          <w:p w14:paraId="5CC2C14E" w14:textId="77777777" w:rsidR="00980DD9" w:rsidRPr="00980DD9" w:rsidRDefault="00980DD9" w:rsidP="00980DD9">
            <w:pPr>
              <w:jc w:val="center"/>
            </w:pPr>
            <w:r w:rsidRPr="00980DD9">
              <w:t>Insurance</w:t>
            </w:r>
          </w:p>
        </w:tc>
        <w:tc>
          <w:tcPr>
            <w:tcW w:w="0" w:type="auto"/>
            <w:hideMark/>
          </w:tcPr>
          <w:p w14:paraId="367EC3F3" w14:textId="77777777" w:rsidR="00980DD9" w:rsidRPr="00980DD9" w:rsidRDefault="00980DD9" w:rsidP="00980DD9">
            <w:r w:rsidRPr="00980DD9">
              <w:t>Maintain appropriate business/employer/public liability cover as applicable</w:t>
            </w:r>
          </w:p>
        </w:tc>
        <w:tc>
          <w:tcPr>
            <w:tcW w:w="0" w:type="auto"/>
            <w:hideMark/>
          </w:tcPr>
          <w:p w14:paraId="3830095C" w14:textId="77777777" w:rsidR="00980DD9" w:rsidRPr="00980DD9" w:rsidRDefault="00980DD9" w:rsidP="00980DD9">
            <w:r w:rsidRPr="00980DD9">
              <w:t>Reduces exposure to operational claims</w:t>
            </w:r>
          </w:p>
        </w:tc>
      </w:tr>
    </w:tbl>
    <w:p w14:paraId="4148A63A" w14:textId="77777777" w:rsidR="00980DD9" w:rsidRDefault="00980DD9" w:rsidP="00744A83"/>
    <w:p w14:paraId="54B2E301" w14:textId="2D8772F8" w:rsidR="00744A83" w:rsidRDefault="00744A83" w:rsidP="00744A83">
      <w:r>
        <w:t>Consumer protection is crucial because orders will be made electronically. Product descriptions, pricing, delivery procedures, cancellation terms</w:t>
      </w:r>
      <w:r w:rsidR="00980DD9">
        <w:t>,</w:t>
      </w:r>
      <w:r>
        <w:t xml:space="preserve"> and contractual details are clear and transparent</w:t>
      </w:r>
      <w:r w:rsidR="00956BE4">
        <w:t xml:space="preserve"> (Luzak </w:t>
      </w:r>
      <w:r w:rsidR="00956BE4">
        <w:rPr>
          <w:i/>
          <w:iCs/>
        </w:rPr>
        <w:t xml:space="preserve">et al., </w:t>
      </w:r>
      <w:r w:rsidR="00956BE4">
        <w:t>2023)</w:t>
      </w:r>
      <w:r>
        <w:t xml:space="preserve">. Use clear website terms, order confirmations and complaint </w:t>
      </w:r>
      <w:r w:rsidR="00980DD9">
        <w:t>procedures</w:t>
      </w:r>
      <w:r>
        <w:t xml:space="preserve"> to minimise disagreements and enhance customer confidence, especially when ordering customised cakes.</w:t>
      </w:r>
    </w:p>
    <w:p w14:paraId="6DBB71CE" w14:textId="24E7065A" w:rsidR="00744A83" w:rsidRDefault="00744A83" w:rsidP="00744A83">
      <w:r>
        <w:t>The company will handle customers' information via its website, payment and delivery procedures. It is therefore required to meet the relevant UK data-protection requirements. For organisations, the ICO says that they are required to safeguard personal data from loss, destruction, alteration and disclosure without their consent. A privacy notice, access control, secure payment systems, data retention policies and an incident-response process should be put in place in the business. These controls are a form of responsible governance to investors.</w:t>
      </w:r>
    </w:p>
    <w:p w14:paraId="5504C0B9" w14:textId="77777777" w:rsidR="00744A83" w:rsidRDefault="00744A83" w:rsidP="00744A83">
      <w:r>
        <w:t>Financial compliance is also of paramount importance. The company has to ensure that it has proper accounting and company records, and ensures that it fulfils Companies House and HMRC filing and tax requirements. VAT registration needs to be monitored as forecasted income for Year 2 of £202,500 and Year 3 of £253,125 is above the current threshold of £90,000 (assuming turnover is taxable). Corporation Tax should also be built into financial planning, and the rate of tax on profits should be applied.</w:t>
      </w:r>
    </w:p>
    <w:p w14:paraId="7DC38485" w14:textId="7B5C7717" w:rsidR="0083455F" w:rsidRDefault="0083455F" w:rsidP="003B0A18">
      <w:pPr>
        <w:pStyle w:val="Heading1"/>
      </w:pPr>
      <w:bookmarkStart w:id="9" w:name="_Toc240105949"/>
      <w:r w:rsidRPr="0083455F">
        <w:lastRenderedPageBreak/>
        <w:t>Financial and Legal Documentation</w:t>
      </w:r>
      <w:bookmarkEnd w:id="9"/>
    </w:p>
    <w:p w14:paraId="7F748DED" w14:textId="0E224F1B" w:rsidR="00D877CD" w:rsidRDefault="00D877CD" w:rsidP="003B0A18">
      <w:pPr>
        <w:pStyle w:val="Heading2"/>
        <w:numPr>
          <w:ilvl w:val="1"/>
          <w:numId w:val="3"/>
        </w:numPr>
      </w:pPr>
      <w:bookmarkStart w:id="10" w:name="_Toc240105950"/>
      <w:r>
        <w:t>Application and Interpretation of Financial and Legal Documentation</w:t>
      </w:r>
      <w:bookmarkEnd w:id="10"/>
    </w:p>
    <w:p w14:paraId="04BC2084" w14:textId="42F4892E" w:rsidR="009C599A" w:rsidRDefault="009C599A" w:rsidP="009C599A">
      <w:r>
        <w:t>The financial and legal documents are to be used as decision-making tools for The Cake &amp; Crumb Co. UK. The most important financial statement is the three-year model supported by the three-year cash-flow forecast, the income statement, the break-even analysis and the scenario analysis. These documents combine and convert operating assumptions into measurable outcomes. The following assumptions are made: £45 average order value (AOV), 300 orders per month in Year 1, 40% cost of goods sold (COGS), £99,600 operating expenditure in Year 1 and an annual revenue growth of 25%. These assumptions generate revenue of £162,000, £202,500 and £253,125 across Years 1–3. Forecasts can be used to determine if sales increases can meet fixed costs and financing obligations.</w:t>
      </w:r>
    </w:p>
    <w:p w14:paraId="40381F8D" w14:textId="5B695A98" w:rsidR="009C599A" w:rsidRDefault="009C599A" w:rsidP="009C599A">
      <w:r>
        <w:t>This analysis is complemented by the cash-flow forecast. The loss in Year 1 is expected, but the working-capital reserve of £20,000 gives a safety cushion in terms of liquidity. The monthly cash-flow information highlights times when cash-flow may be stressed by repayments, expenditure and tax payments. Rewrite the following forecast into an operational target: At £27 contribution per order and £99,600 annual fixed operating cost, about 3,689 orders need to be processed to break even, corresponding to about £166,000 of sales. This provides management with an indicator of a level of performance.</w:t>
      </w:r>
    </w:p>
    <w:p w14:paraId="723340C4" w14:textId="4EDCA14C" w:rsidR="00D877CD" w:rsidRDefault="009C599A" w:rsidP="009C599A">
      <w:r>
        <w:t>Incorporation records, articles of association, shareholder and investment documentation, loan documentation, food business registration, food safety and allergen procedures, employment paperwork, insurance documents, website terms, and privacy documents, and tax and accounting records should be included in legal documentation. These documents lay out responsibilities and evidence compliance. The financial model does not determine the percentage stake of the investor in the proposed £40,000 angel investment, and this should be addressed by written terms that outline ownership, voting rights, and investor protections.</w:t>
      </w:r>
    </w:p>
    <w:p w14:paraId="01127FA1" w14:textId="7F642782" w:rsidR="00D877CD" w:rsidRDefault="00D877CD" w:rsidP="003B0A18">
      <w:pPr>
        <w:pStyle w:val="Heading2"/>
        <w:numPr>
          <w:ilvl w:val="1"/>
          <w:numId w:val="3"/>
        </w:numPr>
      </w:pPr>
      <w:bookmarkStart w:id="11" w:name="_Toc240105951"/>
      <w:r>
        <w:t>Critical Evaluation of Documentation</w:t>
      </w:r>
      <w:bookmarkEnd w:id="11"/>
    </w:p>
    <w:p w14:paraId="5A606429" w14:textId="46C47DD4" w:rsidR="009C599A" w:rsidRDefault="009C599A" w:rsidP="009C599A">
      <w:r>
        <w:t>The financial model's credibility is based on the underlying assumptions and actual performance versus predicted performance. The model is a valuable tool because revenue, costs, profitability, cash flow, break-even, and scenarios are all interrelated</w:t>
      </w:r>
      <w:r w:rsidR="001B592F">
        <w:t xml:space="preserve"> (Hossen, 2026)</w:t>
      </w:r>
      <w:r>
        <w:t xml:space="preserve">. Forecasts are still only projections, though. The 25% revenue increase per year is the best </w:t>
      </w:r>
      <w:r>
        <w:lastRenderedPageBreak/>
        <w:t>estimate for a new bakery and should be proven by the actual volumes of orders, average transaction value, repeat purchases, and marketing performance. The 40% COGS assumption should be evaluated with regard to actual ingredients, packaging, and wastage. A spreadsheet can give a false sense of security without variance analysis.</w:t>
      </w:r>
    </w:p>
    <w:p w14:paraId="3EEF5535" w14:textId="28AE3A57" w:rsidR="009C599A" w:rsidRDefault="009C599A" w:rsidP="009C599A">
      <w:r>
        <w:t>Scenario analysis tests revenue growth and cost changes and makes decisions more useful. The best case results in an NPAT of around £67,803 in year 3 and a negative closing cash of around £42,264 in the worst case. This is a good illustration of the concern about the downside of liquidity. Where the prices or the contribution margin are below plan, management should define trigger points for corrective action such as considering the price, reducing discretionary marketing and renegotiating the supplier price, or requiring additional funds.</w:t>
      </w:r>
    </w:p>
    <w:p w14:paraId="7EA4A3B3" w14:textId="2C28A5AB" w:rsidR="009C599A" w:rsidRDefault="009C599A" w:rsidP="009C599A">
      <w:r>
        <w:t>There should be regular reconciliation of cash-flow records with bank statements, sales records, supplier invoices, payroll records and tax liabilities. Limited companies are required to keep sufficient accounting records detailing transactions, assets and liabilities as part of financial control and to facilitate tax reporting, according to GOV.UK</w:t>
      </w:r>
      <w:r w:rsidR="001B592F">
        <w:t xml:space="preserve"> (</w:t>
      </w:r>
      <w:r w:rsidR="001B592F" w:rsidRPr="001B592F">
        <w:t>Stewart and Connolly, 2024</w:t>
      </w:r>
      <w:r w:rsidR="001B592F">
        <w:t>)</w:t>
      </w:r>
      <w:r>
        <w:t>. The business should keep its own business banking and accounting records, and separate from personal records.</w:t>
      </w:r>
    </w:p>
    <w:p w14:paraId="0D28F4E1" w14:textId="05574CF7" w:rsidR="009C599A" w:rsidRDefault="009C599A" w:rsidP="009C599A">
      <w:r>
        <w:t>There is a governance role for legal documentation. There are indications of ownership and control from the Companies House Register, shareholder registers and investment agreements. Food-safety and allergen records are used to show compliance and mitigate consumer and reputational risk. Online terms are used to explain commercial arrangements, and a privacy notice is used to explain how customer information is being processed</w:t>
      </w:r>
      <w:r w:rsidR="00980AA3">
        <w:t xml:space="preserve"> (Lagioia </w:t>
      </w:r>
      <w:r w:rsidR="00980AA3">
        <w:rPr>
          <w:i/>
          <w:iCs/>
        </w:rPr>
        <w:t xml:space="preserve">et al., </w:t>
      </w:r>
      <w:r w:rsidR="00980AA3">
        <w:t>2022)</w:t>
      </w:r>
      <w:r>
        <w:t>. ICO guidelines suggest that companies involved in handling personal information disclose their privacy information and implement appropriate security measures for personal information. These documents thus increase customer confidence and guarantee legal compliance.</w:t>
      </w:r>
    </w:p>
    <w:p w14:paraId="7747101C" w14:textId="258D6B1D" w:rsidR="009C599A" w:rsidRDefault="009C599A" w:rsidP="009C599A">
      <w:r>
        <w:t>The business should put in place a review program for financial assumptions, supplier prices, food-safety procedures, insurance, customer terms, privacy information, and statutory filings</w:t>
      </w:r>
      <w:r w:rsidR="0017206B">
        <w:t xml:space="preserve"> (Bovay, 2023)</w:t>
      </w:r>
      <w:r>
        <w:t>. Financial documents should be changed on a monthly basis, and legal/compliance documents are to be reviewed when the business changes product, delivery, technology, or staffing. This provides an audit trail of data and enables investors to identify forecasts from actual results.</w:t>
      </w:r>
    </w:p>
    <w:p w14:paraId="3447EDB8" w14:textId="48257F64" w:rsidR="0083455F" w:rsidRDefault="0083455F" w:rsidP="003B0A18">
      <w:pPr>
        <w:pStyle w:val="Heading1"/>
      </w:pPr>
      <w:bookmarkStart w:id="12" w:name="_Toc240105952"/>
      <w:r w:rsidRPr="0083455F">
        <w:lastRenderedPageBreak/>
        <w:t>Conclusion</w:t>
      </w:r>
      <w:bookmarkEnd w:id="12"/>
    </w:p>
    <w:p w14:paraId="6313691F" w14:textId="34E89767" w:rsidR="00BF3948" w:rsidRDefault="00634A13" w:rsidP="003B0A18">
      <w:r w:rsidRPr="00634A13">
        <w:t>Based on the financial and legal assessment, The Cake &amp; Crumb Co. UK is potentially viable to operate, but needs to achieve adequate sales growth with a sustained contribution margin and liquidity. Founder savings, a start-up loan and proposed angel equity make up the £90,000 funding requirement</w:t>
      </w:r>
      <w:r>
        <w:t>,</w:t>
      </w:r>
      <w:r w:rsidRPr="00634A13">
        <w:t xml:space="preserve"> and the proposed working-capital reserve of £20,000 will safeguard against potential trading losses in the early stages. The three year forecast suggests that the business will be profitable in Years 2 and 3 after a loss in Year 1, with a base case profit of about £33,690 in Year 3 after tax. However, scenario testing reveals that material downside exposures exist, especially if sales growth is not as strong and expenses are increased, as negative cash flow may necessitate further financing. A private limited company, within a properly managed framework of statutory, food-safety, consumer, employment, data-protection and taxation requirements, is an appropriate structure for investment and limited liability.</w:t>
      </w:r>
    </w:p>
    <w:p w14:paraId="658AE074" w14:textId="77777777" w:rsidR="00BF3948" w:rsidRDefault="00BF3948" w:rsidP="003B0A18">
      <w:pPr>
        <w:spacing w:before="0" w:after="160"/>
        <w:jc w:val="left"/>
      </w:pPr>
      <w:r>
        <w:br w:type="page"/>
      </w:r>
    </w:p>
    <w:p w14:paraId="13CF3E22" w14:textId="3587CC8A" w:rsidR="00D877CD" w:rsidRDefault="00BF3948" w:rsidP="003B0A18">
      <w:pPr>
        <w:pStyle w:val="Heading1"/>
        <w:numPr>
          <w:ilvl w:val="0"/>
          <w:numId w:val="0"/>
        </w:numPr>
      </w:pPr>
      <w:bookmarkStart w:id="13" w:name="_Toc240105953"/>
      <w:r>
        <w:lastRenderedPageBreak/>
        <w:t>References</w:t>
      </w:r>
      <w:bookmarkEnd w:id="13"/>
    </w:p>
    <w:p w14:paraId="584BD5D3" w14:textId="77777777" w:rsidR="0017206B" w:rsidRDefault="0017206B" w:rsidP="003B0A18">
      <w:r w:rsidRPr="0017206B">
        <w:t>Bovay, J., 2023. Food safety, reputation, and regulation. Applied Economic Perspectives and Policy, 45(2), pp.684-704.</w:t>
      </w:r>
      <w:r>
        <w:t xml:space="preserve"> </w:t>
      </w:r>
      <w:hyperlink r:id="rId14" w:history="1">
        <w:r w:rsidRPr="007A0D6C">
          <w:rPr>
            <w:rStyle w:val="Hyperlink"/>
          </w:rPr>
          <w:t>https://onlinelibrary.wiley.com/doi/abs/10.1002/aepp.13315</w:t>
        </w:r>
      </w:hyperlink>
    </w:p>
    <w:p w14:paraId="7056F716" w14:textId="77777777" w:rsidR="0017206B" w:rsidRDefault="0017206B" w:rsidP="003B0A18">
      <w:r w:rsidRPr="00634A13">
        <w:t>Debellis, F., Rondi, E., Buckley, P.J. and De Massis, A., 2024. Family firms and the governance of global value chains. Journal of International Business Studies, 55(8), pp.962-975.</w:t>
      </w:r>
      <w:r>
        <w:t xml:space="preserve"> </w:t>
      </w:r>
      <w:hyperlink r:id="rId15" w:history="1">
        <w:r w:rsidRPr="007A4068">
          <w:rPr>
            <w:rStyle w:val="Hyperlink"/>
          </w:rPr>
          <w:t>https://link.springer.com/article/10.1057/s41267-024-00716-4</w:t>
        </w:r>
      </w:hyperlink>
    </w:p>
    <w:p w14:paraId="5351F55C" w14:textId="77777777" w:rsidR="0017206B" w:rsidRDefault="0017206B" w:rsidP="003B0A18">
      <w:r w:rsidRPr="001B592F">
        <w:t>Hossen, M.M., 2026. Financial Planning to set up a new Restaurant (Café) and Break-Even Analysis.</w:t>
      </w:r>
      <w:r>
        <w:t xml:space="preserve"> </w:t>
      </w:r>
      <w:hyperlink r:id="rId16" w:history="1">
        <w:r w:rsidRPr="007A0D6C">
          <w:rPr>
            <w:rStyle w:val="Hyperlink"/>
          </w:rPr>
          <w:t>https://www.theseus.fi/handle/10024/929868</w:t>
        </w:r>
      </w:hyperlink>
    </w:p>
    <w:p w14:paraId="0A3EB9B2" w14:textId="77777777" w:rsidR="0017206B" w:rsidRDefault="0017206B" w:rsidP="003B0A18">
      <w:r w:rsidRPr="00980AA3">
        <w:t xml:space="preserve">Lagioia, F., </w:t>
      </w:r>
      <w:proofErr w:type="spellStart"/>
      <w:r w:rsidRPr="00980AA3">
        <w:t>Jabłonowska</w:t>
      </w:r>
      <w:proofErr w:type="spellEnd"/>
      <w:r w:rsidRPr="00980AA3">
        <w:t>, A., Liepina, R. and Drazewski, K., 2022. AI in Search of Unfairness in Consumer Contracts: The Terms of Service Landscape: F. Lagioia et al. Journal of Consumer Policy, 45(3), pp.481-536.</w:t>
      </w:r>
      <w:r>
        <w:t xml:space="preserve"> </w:t>
      </w:r>
      <w:hyperlink r:id="rId17" w:history="1">
        <w:r w:rsidRPr="007A0D6C">
          <w:rPr>
            <w:rStyle w:val="Hyperlink"/>
          </w:rPr>
          <w:t>https://link.springer.com/article/10.1007/s10603-022-09520-9</w:t>
        </w:r>
      </w:hyperlink>
    </w:p>
    <w:p w14:paraId="23668B07" w14:textId="77777777" w:rsidR="0017206B" w:rsidRDefault="0017206B" w:rsidP="003B0A18">
      <w:r w:rsidRPr="00634A13">
        <w:t>Li, H.C. and Liang, J.K., 2022. Service pricing strategy of food delivery platform operators: A demand-supply interaction model. Research in Transportation Business &amp; Management, 45, p.100904.</w:t>
      </w:r>
      <w:r>
        <w:t xml:space="preserve"> </w:t>
      </w:r>
      <w:hyperlink r:id="rId18" w:history="1">
        <w:r w:rsidRPr="007A4068">
          <w:rPr>
            <w:rStyle w:val="Hyperlink"/>
          </w:rPr>
          <w:t>https://www.sciencedirect.com/science/article/pii/S2210539522001250?casa_token=ayAj5ETJW3EAAAAA:NPuqu3CyW12RlFXGdJqW_rsFEJZ6Oo9Sxs9aF81sxhIeWvEH2LMljDaGtgoObgR7v_q8Os8mBHQ</w:t>
        </w:r>
      </w:hyperlink>
    </w:p>
    <w:p w14:paraId="2FF04936" w14:textId="77777777" w:rsidR="0017206B" w:rsidRDefault="0017206B" w:rsidP="003B0A18">
      <w:r w:rsidRPr="00634A13">
        <w:t>Lopes, S.A., 2025. Funding Approaches. In Innovation in Nephrology (pp. 209-218). Academic Press.</w:t>
      </w:r>
      <w:r>
        <w:t xml:space="preserve"> </w:t>
      </w:r>
      <w:hyperlink r:id="rId19" w:history="1">
        <w:r w:rsidRPr="007A4068">
          <w:rPr>
            <w:rStyle w:val="Hyperlink"/>
          </w:rPr>
          <w:t>https://www.sciencedirect.com/science/chapter/edited-volume/pii/B9780323956802000168</w:t>
        </w:r>
      </w:hyperlink>
    </w:p>
    <w:p w14:paraId="303562E7" w14:textId="77777777" w:rsidR="0017206B" w:rsidRDefault="0017206B" w:rsidP="003B0A18">
      <w:r w:rsidRPr="00956BE4">
        <w:t>Luzak, J., Wulf, A.J., Seizov, O., Loos, M.B.M. and Junuzović, M., 2023. ABC of Online Consumer Disclosure Duties: Improving Transparency and Legal Certainty in Europe: J. Luzak et al. Journal of Consumer Policy, 46(3), pp.307-333.</w:t>
      </w:r>
      <w:r>
        <w:t xml:space="preserve"> </w:t>
      </w:r>
      <w:hyperlink r:id="rId20" w:history="1">
        <w:r w:rsidRPr="007A4068">
          <w:rPr>
            <w:rStyle w:val="Hyperlink"/>
          </w:rPr>
          <w:t>https://link.springer.com/article/10.1007/s10603-023-09543-w</w:t>
        </w:r>
      </w:hyperlink>
    </w:p>
    <w:p w14:paraId="0B1FF9EF" w14:textId="77777777" w:rsidR="0017206B" w:rsidRDefault="0017206B" w:rsidP="003B0A18">
      <w:proofErr w:type="spellStart"/>
      <w:r w:rsidRPr="00634A13">
        <w:t>Primec</w:t>
      </w:r>
      <w:proofErr w:type="spellEnd"/>
      <w:r w:rsidRPr="00634A13">
        <w:t>, A. and Belak, J., 2022. Sustainable CSR: Legal and managerial demands of the new EU legislation (CSRD) for the future corporate governance practices. Sustainability, 14(24), p.16648.</w:t>
      </w:r>
      <w:r>
        <w:t xml:space="preserve"> </w:t>
      </w:r>
      <w:hyperlink r:id="rId21" w:history="1">
        <w:r w:rsidRPr="007A4068">
          <w:rPr>
            <w:rStyle w:val="Hyperlink"/>
          </w:rPr>
          <w:t>https://www.mdpi.com/2071-1050/14/24/16648</w:t>
        </w:r>
      </w:hyperlink>
    </w:p>
    <w:p w14:paraId="64C3FA46" w14:textId="06BFAF2B" w:rsidR="00183FFA" w:rsidRDefault="0017206B" w:rsidP="003B0A18">
      <w:r w:rsidRPr="001B592F">
        <w:lastRenderedPageBreak/>
        <w:t>Stewart, E. and Connolly, C., 2024, April. UK public sector fiscal reporting: clear and contradictory. In Accounting Forum (Vol. 48, No. 2, pp. 331-355). Routledge.</w:t>
      </w:r>
      <w:r>
        <w:t xml:space="preserve"> </w:t>
      </w:r>
      <w:hyperlink r:id="rId22" w:history="1">
        <w:r w:rsidRPr="007A0D6C">
          <w:rPr>
            <w:rStyle w:val="Hyperlink"/>
          </w:rPr>
          <w:t>https://www.tandfonline.com/doi/abs/10.1080/01559982.2022.2133339</w:t>
        </w:r>
      </w:hyperlink>
    </w:p>
    <w:p w14:paraId="02AFBF4B" w14:textId="77777777" w:rsidR="00183FFA" w:rsidRDefault="00183FFA">
      <w:pPr>
        <w:spacing w:before="0" w:after="160" w:line="259" w:lineRule="auto"/>
        <w:jc w:val="left"/>
      </w:pPr>
      <w:r>
        <w:br w:type="page"/>
      </w:r>
    </w:p>
    <w:p w14:paraId="03D7BECF" w14:textId="3C51E2CF" w:rsidR="0017206B" w:rsidRDefault="00183FFA" w:rsidP="00183FFA">
      <w:pPr>
        <w:pStyle w:val="Heading1"/>
        <w:numPr>
          <w:ilvl w:val="0"/>
          <w:numId w:val="0"/>
        </w:numPr>
      </w:pPr>
      <w:r>
        <w:lastRenderedPageBreak/>
        <w:t>Appendices</w:t>
      </w:r>
    </w:p>
    <w:p w14:paraId="6C5B816C" w14:textId="122784BE" w:rsidR="00183FFA" w:rsidRPr="00183FFA" w:rsidRDefault="00183FFA" w:rsidP="00183FFA">
      <w:r>
        <w:object w:dxaOrig="1504" w:dyaOrig="981" w14:anchorId="111C2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9.3pt" o:ole="">
            <v:imagedata r:id="rId23" o:title=""/>
          </v:shape>
          <o:OLEObject Type="Link" ProgID="Excel.Sheet.12" ShapeID="_x0000_i1025" DrawAspect="Icon" r:id="rId24" UpdateMode="Always">
            <o:LinkType>EnhancedMetaFile</o:LinkType>
            <o:LockedField>false</o:LockedField>
            <o:FieldCodes>\f 0</o:FieldCodes>
          </o:OLEObject>
        </w:object>
      </w:r>
    </w:p>
    <w:p w14:paraId="2551A20F" w14:textId="77777777" w:rsidR="0017206B" w:rsidRPr="0083455F" w:rsidRDefault="0017206B" w:rsidP="003B0A18"/>
    <w:sectPr w:rsidR="0017206B" w:rsidRPr="0083455F" w:rsidSect="00BF3948">
      <w:footerReference w:type="default" r:id="rId25"/>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7B83" w14:textId="77777777" w:rsidR="00837DFB" w:rsidRDefault="00837DFB" w:rsidP="00BF3948">
      <w:pPr>
        <w:spacing w:before="0" w:after="0" w:line="240" w:lineRule="auto"/>
      </w:pPr>
      <w:r>
        <w:separator/>
      </w:r>
    </w:p>
  </w:endnote>
  <w:endnote w:type="continuationSeparator" w:id="0">
    <w:p w14:paraId="57F6BF56" w14:textId="77777777" w:rsidR="00837DFB" w:rsidRDefault="00837DFB" w:rsidP="00BF394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1788406"/>
      <w:docPartObj>
        <w:docPartGallery w:val="Page Numbers (Bottom of Page)"/>
        <w:docPartUnique/>
      </w:docPartObj>
    </w:sdtPr>
    <w:sdtContent>
      <w:p w14:paraId="5052031E" w14:textId="7FAC0FA9" w:rsidR="00BF3948" w:rsidRDefault="00BF3948">
        <w:pPr>
          <w:pStyle w:val="Footer"/>
          <w:jc w:val="right"/>
        </w:pPr>
        <w:r>
          <w:fldChar w:fldCharType="begin"/>
        </w:r>
        <w:r>
          <w:instrText>PAGE   \* MERGEFORMAT</w:instrText>
        </w:r>
        <w:r>
          <w:fldChar w:fldCharType="separate"/>
        </w:r>
        <w:r>
          <w:rPr>
            <w:lang w:val="en-GB"/>
          </w:rPr>
          <w:t>2</w:t>
        </w:r>
        <w:r>
          <w:fldChar w:fldCharType="end"/>
        </w:r>
      </w:p>
    </w:sdtContent>
  </w:sdt>
  <w:p w14:paraId="6C3330EE" w14:textId="77777777" w:rsidR="00BF3948" w:rsidRDefault="00BF3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8E7A1" w14:textId="77777777" w:rsidR="00837DFB" w:rsidRDefault="00837DFB" w:rsidP="00BF3948">
      <w:pPr>
        <w:spacing w:before="0" w:after="0" w:line="240" w:lineRule="auto"/>
      </w:pPr>
      <w:r>
        <w:separator/>
      </w:r>
    </w:p>
  </w:footnote>
  <w:footnote w:type="continuationSeparator" w:id="0">
    <w:p w14:paraId="3DF755D3" w14:textId="77777777" w:rsidR="00837DFB" w:rsidRDefault="00837DFB" w:rsidP="00BF394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9603E"/>
    <w:multiLevelType w:val="multilevel"/>
    <w:tmpl w:val="3B00E26C"/>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 w15:restartNumberingAfterBreak="0">
    <w:nsid w:val="5BC7242A"/>
    <w:multiLevelType w:val="multilevel"/>
    <w:tmpl w:val="C88AD82A"/>
    <w:lvl w:ilvl="0">
      <w:start w:val="1"/>
      <w:numFmt w:val="decimal"/>
      <w:pStyle w:val="Heading1"/>
      <w:lvlText w:val="%1."/>
      <w:lvlJc w:val="left"/>
      <w:pPr>
        <w:ind w:left="576" w:hanging="360"/>
      </w:pPr>
      <w:rPr>
        <w:rFonts w:hint="default"/>
      </w:rPr>
    </w:lvl>
    <w:lvl w:ilvl="1">
      <w:start w:val="1"/>
      <w:numFmt w:val="decimal"/>
      <w:isLgl/>
      <w:lvlText w:val="%1.%2"/>
      <w:lvlJc w:val="left"/>
      <w:pPr>
        <w:ind w:left="606" w:hanging="390"/>
      </w:pPr>
      <w:rPr>
        <w:rFonts w:hint="default"/>
      </w:rPr>
    </w:lvl>
    <w:lvl w:ilvl="2">
      <w:start w:val="1"/>
      <w:numFmt w:val="decimal"/>
      <w:isLgl/>
      <w:lvlText w:val="%1.%2.%3"/>
      <w:lvlJc w:val="left"/>
      <w:pPr>
        <w:ind w:left="936" w:hanging="720"/>
      </w:pPr>
      <w:rPr>
        <w:rFonts w:hint="default"/>
      </w:rPr>
    </w:lvl>
    <w:lvl w:ilvl="3">
      <w:start w:val="1"/>
      <w:numFmt w:val="decimal"/>
      <w:isLgl/>
      <w:lvlText w:val="%1.%2.%3.%4"/>
      <w:lvlJc w:val="left"/>
      <w:pPr>
        <w:ind w:left="936" w:hanging="720"/>
      </w:pPr>
      <w:rPr>
        <w:rFonts w:hint="default"/>
      </w:rPr>
    </w:lvl>
    <w:lvl w:ilvl="4">
      <w:start w:val="1"/>
      <w:numFmt w:val="decimal"/>
      <w:isLgl/>
      <w:lvlText w:val="%1.%2.%3.%4.%5"/>
      <w:lvlJc w:val="left"/>
      <w:pPr>
        <w:ind w:left="1296" w:hanging="1080"/>
      </w:pPr>
      <w:rPr>
        <w:rFonts w:hint="default"/>
      </w:rPr>
    </w:lvl>
    <w:lvl w:ilvl="5">
      <w:start w:val="1"/>
      <w:numFmt w:val="decimal"/>
      <w:isLgl/>
      <w:lvlText w:val="%1.%2.%3.%4.%5.%6"/>
      <w:lvlJc w:val="left"/>
      <w:pPr>
        <w:ind w:left="1296" w:hanging="1080"/>
      </w:pPr>
      <w:rPr>
        <w:rFonts w:hint="default"/>
      </w:rPr>
    </w:lvl>
    <w:lvl w:ilvl="6">
      <w:start w:val="1"/>
      <w:numFmt w:val="decimal"/>
      <w:isLgl/>
      <w:lvlText w:val="%1.%2.%3.%4.%5.%6.%7"/>
      <w:lvlJc w:val="left"/>
      <w:pPr>
        <w:ind w:left="1656" w:hanging="1440"/>
      </w:pPr>
      <w:rPr>
        <w:rFonts w:hint="default"/>
      </w:rPr>
    </w:lvl>
    <w:lvl w:ilvl="7">
      <w:start w:val="1"/>
      <w:numFmt w:val="decimal"/>
      <w:isLgl/>
      <w:lvlText w:val="%1.%2.%3.%4.%5.%6.%7.%8"/>
      <w:lvlJc w:val="left"/>
      <w:pPr>
        <w:ind w:left="1656" w:hanging="1440"/>
      </w:pPr>
      <w:rPr>
        <w:rFonts w:hint="default"/>
      </w:rPr>
    </w:lvl>
    <w:lvl w:ilvl="8">
      <w:start w:val="1"/>
      <w:numFmt w:val="decimal"/>
      <w:isLgl/>
      <w:lvlText w:val="%1.%2.%3.%4.%5.%6.%7.%8.%9"/>
      <w:lvlJc w:val="left"/>
      <w:pPr>
        <w:ind w:left="2016" w:hanging="1800"/>
      </w:pPr>
      <w:rPr>
        <w:rFonts w:hint="default"/>
      </w:rPr>
    </w:lvl>
  </w:abstractNum>
  <w:num w:numId="1" w16cid:durableId="1527476846">
    <w:abstractNumId w:val="0"/>
  </w:num>
  <w:num w:numId="2" w16cid:durableId="1233154769">
    <w:abstractNumId w:val="0"/>
  </w:num>
  <w:num w:numId="3" w16cid:durableId="9355949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3E"/>
    <w:rsid w:val="000273BA"/>
    <w:rsid w:val="000427CC"/>
    <w:rsid w:val="00063783"/>
    <w:rsid w:val="00093A71"/>
    <w:rsid w:val="00096DBD"/>
    <w:rsid w:val="000D3F23"/>
    <w:rsid w:val="000E34D8"/>
    <w:rsid w:val="00116153"/>
    <w:rsid w:val="00151334"/>
    <w:rsid w:val="0016127E"/>
    <w:rsid w:val="0017206B"/>
    <w:rsid w:val="00183FFA"/>
    <w:rsid w:val="001B592F"/>
    <w:rsid w:val="00252621"/>
    <w:rsid w:val="003B0A18"/>
    <w:rsid w:val="003F3004"/>
    <w:rsid w:val="0040557C"/>
    <w:rsid w:val="0043710D"/>
    <w:rsid w:val="004573E2"/>
    <w:rsid w:val="004857F3"/>
    <w:rsid w:val="004A2450"/>
    <w:rsid w:val="004D1926"/>
    <w:rsid w:val="00586483"/>
    <w:rsid w:val="005A2668"/>
    <w:rsid w:val="005D3690"/>
    <w:rsid w:val="00634A13"/>
    <w:rsid w:val="006737D4"/>
    <w:rsid w:val="0069473E"/>
    <w:rsid w:val="006A2A4E"/>
    <w:rsid w:val="006B00B3"/>
    <w:rsid w:val="006B2AD1"/>
    <w:rsid w:val="007253BA"/>
    <w:rsid w:val="00744A83"/>
    <w:rsid w:val="007C49BA"/>
    <w:rsid w:val="0083455F"/>
    <w:rsid w:val="00837DFB"/>
    <w:rsid w:val="0091459E"/>
    <w:rsid w:val="00956BE4"/>
    <w:rsid w:val="00980AA3"/>
    <w:rsid w:val="00980DD9"/>
    <w:rsid w:val="009C599A"/>
    <w:rsid w:val="00A16B4A"/>
    <w:rsid w:val="00A261C3"/>
    <w:rsid w:val="00A40BB9"/>
    <w:rsid w:val="00A45B41"/>
    <w:rsid w:val="00A81A4F"/>
    <w:rsid w:val="00AB6969"/>
    <w:rsid w:val="00AC4527"/>
    <w:rsid w:val="00B41DFC"/>
    <w:rsid w:val="00B56077"/>
    <w:rsid w:val="00BA1132"/>
    <w:rsid w:val="00BC22E1"/>
    <w:rsid w:val="00BF3948"/>
    <w:rsid w:val="00CB1793"/>
    <w:rsid w:val="00CB73DB"/>
    <w:rsid w:val="00D877CD"/>
    <w:rsid w:val="00DA6D7D"/>
    <w:rsid w:val="00DD028E"/>
    <w:rsid w:val="00E30F4A"/>
    <w:rsid w:val="00E40BE8"/>
    <w:rsid w:val="00E70D6D"/>
    <w:rsid w:val="00EC48D0"/>
    <w:rsid w:val="00ED695E"/>
    <w:rsid w:val="00EE6C98"/>
    <w:rsid w:val="00F003F0"/>
    <w:rsid w:val="00F12411"/>
    <w:rsid w:val="00F2692E"/>
    <w:rsid w:val="00FA630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5BFC"/>
  <w15:chartTrackingRefBased/>
  <w15:docId w15:val="{F1090209-8001-4855-9BB2-834456EB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D7D"/>
    <w:pPr>
      <w:spacing w:before="120" w:after="280" w:line="360" w:lineRule="auto"/>
      <w:jc w:val="both"/>
    </w:pPr>
    <w:rPr>
      <w:rFonts w:ascii="Times New Roman" w:hAnsi="Times New Roman"/>
      <w:sz w:val="24"/>
    </w:rPr>
  </w:style>
  <w:style w:type="paragraph" w:styleId="Heading1">
    <w:name w:val="heading 1"/>
    <w:basedOn w:val="Normal"/>
    <w:next w:val="Normal"/>
    <w:link w:val="Heading1Char"/>
    <w:autoRedefine/>
    <w:qFormat/>
    <w:rsid w:val="00DA6D7D"/>
    <w:pPr>
      <w:keepNext/>
      <w:keepLines/>
      <w:numPr>
        <w:numId w:val="3"/>
      </w:numPr>
      <w:tabs>
        <w:tab w:val="left" w:pos="216"/>
      </w:tabs>
      <w:spacing w:before="160" w:after="80"/>
      <w:outlineLvl w:val="0"/>
    </w:pPr>
    <w:rPr>
      <w:rFonts w:eastAsia="SimSun" w:cs="Times New Roman"/>
      <w:b/>
      <w:bCs/>
      <w:noProof/>
      <w:kern w:val="0"/>
      <w:sz w:val="28"/>
      <w:szCs w:val="28"/>
      <w14:ligatures w14:val="none"/>
    </w:rPr>
  </w:style>
  <w:style w:type="paragraph" w:styleId="Heading2">
    <w:name w:val="heading 2"/>
    <w:basedOn w:val="Normal"/>
    <w:next w:val="Normal"/>
    <w:link w:val="Heading2Char"/>
    <w:autoRedefine/>
    <w:uiPriority w:val="9"/>
    <w:unhideWhenUsed/>
    <w:qFormat/>
    <w:rsid w:val="00093A71"/>
    <w:pPr>
      <w:keepNext/>
      <w:keepLines/>
      <w:numPr>
        <w:ilvl w:val="1"/>
        <w:numId w:val="2"/>
      </w:numPr>
      <w:spacing w:before="280" w:after="200"/>
      <w:outlineLvl w:val="1"/>
    </w:pPr>
    <w:rPr>
      <w:rFonts w:eastAsiaTheme="majorEastAsia" w:cstheme="majorBidi"/>
      <w:b/>
      <w:sz w:val="26"/>
      <w:szCs w:val="32"/>
    </w:rPr>
  </w:style>
  <w:style w:type="paragraph" w:styleId="Heading3">
    <w:name w:val="heading 3"/>
    <w:basedOn w:val="Normal"/>
    <w:next w:val="Normal"/>
    <w:link w:val="Heading3Char"/>
    <w:autoRedefine/>
    <w:uiPriority w:val="9"/>
    <w:unhideWhenUsed/>
    <w:qFormat/>
    <w:rsid w:val="00FA630A"/>
    <w:pPr>
      <w:keepNext/>
      <w:keepLines/>
      <w:spacing w:before="280" w:after="20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69473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473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947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47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473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473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0BE8"/>
    <w:rPr>
      <w:rFonts w:ascii="Times New Roman" w:eastAsiaTheme="majorEastAsia" w:hAnsi="Times New Roman" w:cstheme="majorBidi"/>
      <w:b/>
      <w:sz w:val="26"/>
      <w:szCs w:val="32"/>
    </w:rPr>
  </w:style>
  <w:style w:type="character" w:customStyle="1" w:styleId="Heading1Char">
    <w:name w:val="Heading 1 Char"/>
    <w:basedOn w:val="DefaultParagraphFont"/>
    <w:link w:val="Heading1"/>
    <w:rsid w:val="00DA6D7D"/>
    <w:rPr>
      <w:rFonts w:ascii="Times New Roman" w:eastAsia="SimSun" w:hAnsi="Times New Roman" w:cs="Times New Roman"/>
      <w:b/>
      <w:bCs/>
      <w:noProof/>
      <w:kern w:val="0"/>
      <w:sz w:val="28"/>
      <w:szCs w:val="28"/>
      <w14:ligatures w14:val="none"/>
    </w:rPr>
  </w:style>
  <w:style w:type="character" w:customStyle="1" w:styleId="Heading3Char">
    <w:name w:val="Heading 3 Char"/>
    <w:basedOn w:val="DefaultParagraphFont"/>
    <w:link w:val="Heading3"/>
    <w:uiPriority w:val="9"/>
    <w:rsid w:val="00FA630A"/>
    <w:rPr>
      <w:rFonts w:ascii="Times New Roman" w:eastAsiaTheme="majorEastAsia" w:hAnsi="Times New Roman" w:cstheme="majorBidi"/>
      <w:b/>
      <w:sz w:val="24"/>
      <w:szCs w:val="28"/>
    </w:rPr>
  </w:style>
  <w:style w:type="paragraph" w:styleId="Subtitle">
    <w:name w:val="Subtitle"/>
    <w:basedOn w:val="Normal"/>
    <w:next w:val="Normal"/>
    <w:link w:val="SubtitleChar"/>
    <w:autoRedefine/>
    <w:rsid w:val="000D3F23"/>
    <w:pPr>
      <w:keepNext/>
      <w:keepLines/>
      <w:spacing w:before="0" w:after="320"/>
      <w:jc w:val="center"/>
    </w:pPr>
    <w:rPr>
      <w:rFonts w:eastAsia="Arial" w:cs="Arial"/>
      <w:b/>
      <w:kern w:val="0"/>
      <w:szCs w:val="30"/>
      <w:lang w:val="en" w:eastAsia="en-GB"/>
      <w14:ligatures w14:val="none"/>
    </w:rPr>
  </w:style>
  <w:style w:type="character" w:customStyle="1" w:styleId="SubtitleChar">
    <w:name w:val="Subtitle Char"/>
    <w:basedOn w:val="DefaultParagraphFont"/>
    <w:link w:val="Subtitle"/>
    <w:rsid w:val="000D3F23"/>
    <w:rPr>
      <w:rFonts w:ascii="Times New Roman" w:eastAsia="Arial" w:hAnsi="Times New Roman" w:cs="Arial"/>
      <w:b/>
      <w:kern w:val="0"/>
      <w:sz w:val="24"/>
      <w:szCs w:val="30"/>
      <w:lang w:val="en" w:eastAsia="en-GB"/>
      <w14:ligatures w14:val="none"/>
    </w:rPr>
  </w:style>
  <w:style w:type="character" w:customStyle="1" w:styleId="Heading4Char">
    <w:name w:val="Heading 4 Char"/>
    <w:basedOn w:val="DefaultParagraphFont"/>
    <w:link w:val="Heading4"/>
    <w:uiPriority w:val="9"/>
    <w:semiHidden/>
    <w:rsid w:val="0069473E"/>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69473E"/>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69473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69473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69473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69473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69473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73E"/>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6947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473E"/>
    <w:rPr>
      <w:rFonts w:ascii="Times New Roman" w:hAnsi="Times New Roman"/>
      <w:i/>
      <w:iCs/>
      <w:color w:val="404040" w:themeColor="text1" w:themeTint="BF"/>
      <w:sz w:val="24"/>
    </w:rPr>
  </w:style>
  <w:style w:type="paragraph" w:styleId="ListParagraph">
    <w:name w:val="List Paragraph"/>
    <w:basedOn w:val="Normal"/>
    <w:uiPriority w:val="34"/>
    <w:qFormat/>
    <w:rsid w:val="0069473E"/>
    <w:pPr>
      <w:ind w:left="720"/>
      <w:contextualSpacing/>
    </w:pPr>
  </w:style>
  <w:style w:type="character" w:styleId="IntenseEmphasis">
    <w:name w:val="Intense Emphasis"/>
    <w:basedOn w:val="DefaultParagraphFont"/>
    <w:uiPriority w:val="21"/>
    <w:qFormat/>
    <w:rsid w:val="0069473E"/>
    <w:rPr>
      <w:i/>
      <w:iCs/>
      <w:color w:val="2F5496" w:themeColor="accent1" w:themeShade="BF"/>
    </w:rPr>
  </w:style>
  <w:style w:type="paragraph" w:styleId="IntenseQuote">
    <w:name w:val="Intense Quote"/>
    <w:basedOn w:val="Normal"/>
    <w:next w:val="Normal"/>
    <w:link w:val="IntenseQuoteChar"/>
    <w:uiPriority w:val="30"/>
    <w:qFormat/>
    <w:rsid w:val="006947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73E"/>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69473E"/>
    <w:rPr>
      <w:b/>
      <w:bCs/>
      <w:smallCaps/>
      <w:color w:val="2F5496" w:themeColor="accent1" w:themeShade="BF"/>
      <w:spacing w:val="5"/>
    </w:rPr>
  </w:style>
  <w:style w:type="paragraph" w:styleId="Header">
    <w:name w:val="header"/>
    <w:basedOn w:val="Normal"/>
    <w:link w:val="HeaderChar"/>
    <w:uiPriority w:val="99"/>
    <w:unhideWhenUsed/>
    <w:rsid w:val="00BF394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F3948"/>
    <w:rPr>
      <w:rFonts w:ascii="Times New Roman" w:hAnsi="Times New Roman"/>
      <w:sz w:val="24"/>
    </w:rPr>
  </w:style>
  <w:style w:type="paragraph" w:styleId="Footer">
    <w:name w:val="footer"/>
    <w:basedOn w:val="Normal"/>
    <w:link w:val="FooterChar"/>
    <w:uiPriority w:val="99"/>
    <w:unhideWhenUsed/>
    <w:rsid w:val="00BF394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F3948"/>
    <w:rPr>
      <w:rFonts w:ascii="Times New Roman" w:hAnsi="Times New Roman"/>
      <w:sz w:val="24"/>
    </w:rPr>
  </w:style>
  <w:style w:type="character" w:styleId="Hyperlink">
    <w:name w:val="Hyperlink"/>
    <w:basedOn w:val="DefaultParagraphFont"/>
    <w:uiPriority w:val="99"/>
    <w:unhideWhenUsed/>
    <w:rsid w:val="00BA1132"/>
    <w:rPr>
      <w:color w:val="0563C1" w:themeColor="hyperlink"/>
      <w:u w:val="single"/>
    </w:rPr>
  </w:style>
  <w:style w:type="character" w:styleId="UnresolvedMention">
    <w:name w:val="Unresolved Mention"/>
    <w:basedOn w:val="DefaultParagraphFont"/>
    <w:uiPriority w:val="99"/>
    <w:semiHidden/>
    <w:unhideWhenUsed/>
    <w:rsid w:val="00BA1132"/>
    <w:rPr>
      <w:color w:val="605E5C"/>
      <w:shd w:val="clear" w:color="auto" w:fill="E1DFDD"/>
    </w:rPr>
  </w:style>
  <w:style w:type="table" w:styleId="TableGrid">
    <w:name w:val="Table Grid"/>
    <w:basedOn w:val="TableNormal"/>
    <w:uiPriority w:val="39"/>
    <w:rsid w:val="00E70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0A18"/>
    <w:pPr>
      <w:numPr>
        <w:numId w:val="0"/>
      </w:numPr>
      <w:tabs>
        <w:tab w:val="clear" w:pos="216"/>
      </w:tabs>
      <w:spacing w:before="240" w:after="0" w:line="259" w:lineRule="auto"/>
      <w:jc w:val="left"/>
      <w:outlineLvl w:val="9"/>
    </w:pPr>
    <w:rPr>
      <w:rFonts w:asciiTheme="majorHAnsi" w:eastAsiaTheme="majorEastAsia" w:hAnsiTheme="majorHAnsi" w:cstheme="majorBidi"/>
      <w:b w:val="0"/>
      <w:bCs w:val="0"/>
      <w:noProof w:val="0"/>
      <w:color w:val="2F5496" w:themeColor="accent1" w:themeShade="BF"/>
      <w:sz w:val="32"/>
      <w:szCs w:val="32"/>
      <w:lang w:eastAsia="en-IN" w:bidi="hi-IN"/>
    </w:rPr>
  </w:style>
  <w:style w:type="paragraph" w:styleId="TOC1">
    <w:name w:val="toc 1"/>
    <w:basedOn w:val="Normal"/>
    <w:next w:val="Normal"/>
    <w:autoRedefine/>
    <w:uiPriority w:val="39"/>
    <w:unhideWhenUsed/>
    <w:rsid w:val="003B0A18"/>
    <w:pPr>
      <w:spacing w:after="100"/>
    </w:pPr>
  </w:style>
  <w:style w:type="paragraph" w:styleId="TOC2">
    <w:name w:val="toc 2"/>
    <w:basedOn w:val="Normal"/>
    <w:next w:val="Normal"/>
    <w:autoRedefine/>
    <w:uiPriority w:val="39"/>
    <w:unhideWhenUsed/>
    <w:rsid w:val="003B0A1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sciencedirect.com/science/article/pii/S2210539522001250?casa_token=ayAj5ETJW3EAAAAA:NPuqu3CyW12RlFXGdJqW_rsFEJZ6Oo9Sxs9aF81sxhIeWvEH2LMljDaGtgoObgR7v_q8Os8mBHQ"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mdpi.com/2071-1050/14/24/1664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link.springer.com/article/10.1007/s10603-022-09520-9"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theseus.fi/handle/10024/929868" TargetMode="External"/><Relationship Id="rId20" Type="http://schemas.openxmlformats.org/officeDocument/2006/relationships/hyperlink" Target="https://link.springer.com/article/10.1007/s10603-023-09543-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file:///F:\Warrgyizmorsch\UKS60305\Final%20File.xlsx" TargetMode="External"/><Relationship Id="rId5" Type="http://schemas.openxmlformats.org/officeDocument/2006/relationships/webSettings" Target="webSettings.xml"/><Relationship Id="rId15" Type="http://schemas.openxmlformats.org/officeDocument/2006/relationships/hyperlink" Target="https://link.springer.com/article/10.1057/s41267-024-00716-4" TargetMode="External"/><Relationship Id="rId23"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hyperlink" Target="https://www.sciencedirect.com/science/chapter/edited-volume/pii/B978032395680200016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nlinelibrary.wiley.com/doi/abs/10.1002/aepp.13315" TargetMode="External"/><Relationship Id="rId22" Type="http://schemas.openxmlformats.org/officeDocument/2006/relationships/hyperlink" Target="https://www.tandfonline.com/doi/abs/10.1080/01559982.2022.213333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B8519-8F0D-497C-8B77-F1FDB3219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21</Pages>
  <Words>4119</Words>
  <Characters>23483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Pachouri</dc:creator>
  <cp:keywords/>
  <dc:description/>
  <cp:lastModifiedBy>Vikrant Pachouri</cp:lastModifiedBy>
  <cp:revision>55</cp:revision>
  <dcterms:created xsi:type="dcterms:W3CDTF">2026-09-09T06:41:00Z</dcterms:created>
  <dcterms:modified xsi:type="dcterms:W3CDTF">2026-09-12T12:34:00Z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8d864da0-18eb-4536-be12-4b48e1f8fdb3</vt:lpwstr>
  </property>
</Properties>
</file>