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27835">
      <w:pPr>
        <w:jc w:val="center"/>
        <w:rPr>
          <w:rFonts w:ascii="Calibri" w:hAnsi="Calibri" w:eastAsia="Calibri" w:cs="Calibri"/>
          <w:b/>
          <w:sz w:val="50"/>
          <w:szCs w:val="50"/>
        </w:rPr>
      </w:pPr>
      <w:r>
        <w:rPr>
          <w:b/>
          <w:sz w:val="50"/>
          <w:szCs w:val="50"/>
        </w:rPr>
        <w:t>Sociology of Health and Illness</w:t>
      </w:r>
    </w:p>
    <w:p w14:paraId="3E0024C1">
      <w:pPr>
        <w:jc w:val="center"/>
        <w:rPr>
          <w:rFonts w:ascii="Calibri" w:hAnsi="Calibri" w:eastAsia="Calibri" w:cs="Calibri"/>
          <w:b/>
          <w:sz w:val="40"/>
          <w:szCs w:val="40"/>
        </w:rPr>
      </w:pPr>
      <w:r>
        <w:rPr>
          <w:b/>
          <w:sz w:val="40"/>
          <w:szCs w:val="40"/>
        </w:rPr>
        <w:t>Certificate of Higher Education in Health and Social Care</w:t>
      </w:r>
      <w:bookmarkStart w:id="5" w:name="_GoBack"/>
      <w:bookmarkEnd w:id="5"/>
    </w:p>
    <w:p w14:paraId="14DFF626"/>
    <w:p w14:paraId="39C2BBA6"/>
    <w:p w14:paraId="124A6703"/>
    <w:p w14:paraId="4FC83798"/>
    <w:p w14:paraId="609A4B78"/>
    <w:p w14:paraId="39497823"/>
    <w:p w14:paraId="6CAA0CDF"/>
    <w:p w14:paraId="68FE5AFB"/>
    <w:p w14:paraId="28C15751"/>
    <w:p w14:paraId="028CD9D3"/>
    <w:p w14:paraId="2332F087"/>
    <w:p w14:paraId="2B49FF8A"/>
    <w:p w14:paraId="669DDEA3"/>
    <w:p w14:paraId="3D9C167F">
      <w:r>
        <w:t xml:space="preserve">Student Name: </w:t>
      </w:r>
    </w:p>
    <w:p w14:paraId="7829A152">
      <w:pPr>
        <w:rPr>
          <w:b/>
          <w:bCs/>
          <w:lang w:val="en-IN"/>
        </w:rPr>
      </w:pPr>
      <w:r>
        <w:t>Student ID:</w:t>
      </w:r>
    </w:p>
    <w:p w14:paraId="569D8579">
      <w:r>
        <w:rPr>
          <w:lang w:val="en-IN"/>
        </w:rPr>
        <w:t>I declare that this assignment is all my own work and that I have acknowledged all materials used from the published or unpublished works of other people. All references have been duly cited.</w:t>
      </w:r>
    </w:p>
    <w:p w14:paraId="1C314069">
      <w:pPr>
        <w:rPr>
          <w:lang w:val="en-IN"/>
        </w:rPr>
      </w:pPr>
      <w:r>
        <w:rPr>
          <w:lang w:val="en-IN"/>
        </w:rPr>
        <w:br w:type="page"/>
      </w:r>
    </w:p>
    <w:sdt>
      <w:sdtPr>
        <w:rPr>
          <w:rFonts w:ascii="Times New Roman" w:hAnsi="Times New Roman" w:eastAsiaTheme="minorHAnsi" w:cstheme="minorBidi"/>
          <w:color w:val="auto"/>
          <w:sz w:val="24"/>
          <w:szCs w:val="22"/>
          <w:lang w:val="en-GB"/>
        </w:rPr>
        <w:id w:val="-459257787"/>
        <w:docPartObj>
          <w:docPartGallery w:val="Table of Contents"/>
          <w:docPartUnique/>
        </w:docPartObj>
      </w:sdtPr>
      <w:sdtEndPr>
        <w:rPr>
          <w:rFonts w:ascii="Times New Roman" w:hAnsi="Times New Roman" w:eastAsiaTheme="minorHAnsi" w:cstheme="minorBidi"/>
          <w:b/>
          <w:bCs/>
          <w:color w:val="auto"/>
          <w:sz w:val="24"/>
          <w:szCs w:val="22"/>
          <w:lang w:val="en-GB"/>
        </w:rPr>
      </w:sdtEndPr>
      <w:sdtContent>
        <w:p w14:paraId="4ED05EB9">
          <w:pPr>
            <w:pStyle w:val="23"/>
            <w:jc w:val="center"/>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Table of Contents</w:t>
          </w:r>
        </w:p>
        <w:p w14:paraId="205AD31B">
          <w:pPr>
            <w:pStyle w:val="15"/>
            <w:tabs>
              <w:tab w:val="right" w:leader="dot" w:pos="9016"/>
            </w:tabs>
          </w:pPr>
          <w:r>
            <w:fldChar w:fldCharType="begin"/>
          </w:r>
          <w:r>
            <w:instrText xml:space="preserve"> TOC \o "1-3" \h \z \u </w:instrText>
          </w:r>
          <w:r>
            <w:fldChar w:fldCharType="separate"/>
          </w:r>
          <w:r>
            <w:fldChar w:fldCharType="begin"/>
          </w:r>
          <w:r>
            <w:instrText xml:space="preserve"> HYPERLINK \l "_Toc239505354" </w:instrText>
          </w:r>
          <w:r>
            <w:fldChar w:fldCharType="separate"/>
          </w:r>
          <w:r>
            <w:rPr>
              <w:rStyle w:val="12"/>
              <w:lang w:val="en-IN"/>
            </w:rPr>
            <w:t>Sociological Perspectives on Health and Illness</w:t>
          </w:r>
          <w:r>
            <w:tab/>
          </w:r>
          <w:r>
            <w:fldChar w:fldCharType="begin"/>
          </w:r>
          <w:r>
            <w:instrText xml:space="preserve"> PAGEREF _Toc239505354 \h </w:instrText>
          </w:r>
          <w:r>
            <w:fldChar w:fldCharType="separate"/>
          </w:r>
          <w:r>
            <w:t>4</w:t>
          </w:r>
          <w:r>
            <w:fldChar w:fldCharType="end"/>
          </w:r>
          <w:r>
            <w:fldChar w:fldCharType="end"/>
          </w:r>
        </w:p>
        <w:p w14:paraId="3B0F4A81">
          <w:pPr>
            <w:pStyle w:val="15"/>
            <w:tabs>
              <w:tab w:val="right" w:leader="dot" w:pos="9016"/>
            </w:tabs>
          </w:pPr>
          <w:r>
            <w:fldChar w:fldCharType="begin"/>
          </w:r>
          <w:r>
            <w:instrText xml:space="preserve"> HYPERLINK \l "_Toc239505355" </w:instrText>
          </w:r>
          <w:r>
            <w:fldChar w:fldCharType="separate"/>
          </w:r>
          <w:r>
            <w:rPr>
              <w:rStyle w:val="12"/>
              <w:lang w:val="en-IN"/>
            </w:rPr>
            <w:t>Salient Social Factors and Inequalities</w:t>
          </w:r>
          <w:r>
            <w:tab/>
          </w:r>
          <w:r>
            <w:fldChar w:fldCharType="begin"/>
          </w:r>
          <w:r>
            <w:instrText xml:space="preserve"> PAGEREF _Toc239505355 \h </w:instrText>
          </w:r>
          <w:r>
            <w:fldChar w:fldCharType="separate"/>
          </w:r>
          <w:r>
            <w:t>5</w:t>
          </w:r>
          <w:r>
            <w:fldChar w:fldCharType="end"/>
          </w:r>
          <w:r>
            <w:fldChar w:fldCharType="end"/>
          </w:r>
        </w:p>
        <w:p w14:paraId="7003C192">
          <w:pPr>
            <w:pStyle w:val="15"/>
            <w:tabs>
              <w:tab w:val="right" w:leader="dot" w:pos="9016"/>
            </w:tabs>
          </w:pPr>
          <w:r>
            <w:fldChar w:fldCharType="begin"/>
          </w:r>
          <w:r>
            <w:instrText xml:space="preserve"> HYPERLINK \l "_Toc239505356" </w:instrText>
          </w:r>
          <w:r>
            <w:fldChar w:fldCharType="separate"/>
          </w:r>
          <w:r>
            <w:rPr>
              <w:rStyle w:val="12"/>
              <w:lang w:val="en-IN"/>
            </w:rPr>
            <w:t>Role of Medical Institutions and Professions</w:t>
          </w:r>
          <w:r>
            <w:tab/>
          </w:r>
          <w:r>
            <w:fldChar w:fldCharType="begin"/>
          </w:r>
          <w:r>
            <w:instrText xml:space="preserve"> PAGEREF _Toc239505356 \h </w:instrText>
          </w:r>
          <w:r>
            <w:fldChar w:fldCharType="separate"/>
          </w:r>
          <w:r>
            <w:t>7</w:t>
          </w:r>
          <w:r>
            <w:fldChar w:fldCharType="end"/>
          </w:r>
          <w:r>
            <w:fldChar w:fldCharType="end"/>
          </w:r>
        </w:p>
        <w:p w14:paraId="5103DCB4">
          <w:pPr>
            <w:pStyle w:val="15"/>
            <w:tabs>
              <w:tab w:val="right" w:leader="dot" w:pos="9016"/>
            </w:tabs>
          </w:pPr>
          <w:r>
            <w:fldChar w:fldCharType="begin"/>
          </w:r>
          <w:r>
            <w:instrText xml:space="preserve"> HYPERLINK \l "_Toc239505357" </w:instrText>
          </w:r>
          <w:r>
            <w:fldChar w:fldCharType="separate"/>
          </w:r>
          <w:r>
            <w:rPr>
              <w:rStyle w:val="12"/>
              <w:lang w:val="en-IN"/>
            </w:rPr>
            <w:t>Conclusion and Reflection</w:t>
          </w:r>
          <w:r>
            <w:tab/>
          </w:r>
          <w:r>
            <w:fldChar w:fldCharType="begin"/>
          </w:r>
          <w:r>
            <w:instrText xml:space="preserve"> PAGEREF _Toc239505357 \h </w:instrText>
          </w:r>
          <w:r>
            <w:fldChar w:fldCharType="separate"/>
          </w:r>
          <w:r>
            <w:t>10</w:t>
          </w:r>
          <w:r>
            <w:fldChar w:fldCharType="end"/>
          </w:r>
          <w:r>
            <w:fldChar w:fldCharType="end"/>
          </w:r>
        </w:p>
        <w:p w14:paraId="10B5F27D">
          <w:pPr>
            <w:pStyle w:val="15"/>
            <w:tabs>
              <w:tab w:val="right" w:leader="dot" w:pos="9016"/>
            </w:tabs>
          </w:pPr>
          <w:r>
            <w:fldChar w:fldCharType="begin"/>
          </w:r>
          <w:r>
            <w:instrText xml:space="preserve"> HYPERLINK \l "_Toc239505358" </w:instrText>
          </w:r>
          <w:r>
            <w:fldChar w:fldCharType="separate"/>
          </w:r>
          <w:r>
            <w:rPr>
              <w:rStyle w:val="12"/>
              <w:lang w:val="en-IN"/>
            </w:rPr>
            <w:t>References</w:t>
          </w:r>
          <w:r>
            <w:tab/>
          </w:r>
          <w:r>
            <w:fldChar w:fldCharType="begin"/>
          </w:r>
          <w:r>
            <w:instrText xml:space="preserve"> PAGEREF _Toc239505358 \h </w:instrText>
          </w:r>
          <w:r>
            <w:fldChar w:fldCharType="separate"/>
          </w:r>
          <w:r>
            <w:t>11</w:t>
          </w:r>
          <w:r>
            <w:fldChar w:fldCharType="end"/>
          </w:r>
          <w:r>
            <w:fldChar w:fldCharType="end"/>
          </w:r>
        </w:p>
        <w:p w14:paraId="1D768798">
          <w:r>
            <w:rPr>
              <w:b/>
              <w:bCs/>
            </w:rPr>
            <w:fldChar w:fldCharType="end"/>
          </w:r>
        </w:p>
      </w:sdtContent>
    </w:sdt>
    <w:p w14:paraId="7F25A14D">
      <w:pPr>
        <w:rPr>
          <w:b/>
          <w:bCs/>
          <w:lang w:val="en-IN"/>
        </w:rPr>
      </w:pPr>
    </w:p>
    <w:p w14:paraId="21CECF23">
      <w:pPr>
        <w:spacing w:before="0" w:after="200" w:line="276" w:lineRule="auto"/>
        <w:jc w:val="left"/>
        <w:rPr>
          <w:b/>
          <w:bCs/>
          <w:lang w:val="en-IN"/>
        </w:rPr>
      </w:pPr>
      <w:r>
        <w:rPr>
          <w:b/>
          <w:bCs/>
          <w:lang w:val="en-IN"/>
        </w:rPr>
        <w:br w:type="page"/>
      </w:r>
    </w:p>
    <w:p w14:paraId="27A64BA9">
      <w:pPr>
        <w:rPr>
          <w:b/>
          <w:bCs/>
          <w:lang w:val="en-IN"/>
        </w:rPr>
      </w:pPr>
      <w:r>
        <w:rPr>
          <w:b/>
          <w:bCs/>
          <w:lang w:val="en-IN"/>
        </w:rPr>
        <w:t>Introduction</w:t>
      </w:r>
    </w:p>
    <w:p w14:paraId="16F11CCE">
      <w:pPr>
        <w:rPr>
          <w:rFonts w:eastAsiaTheme="majorEastAsia" w:cstheme="majorBidi"/>
          <w:b/>
          <w:bCs/>
          <w:color w:val="000000" w:themeColor="text1"/>
          <w:sz w:val="28"/>
          <w:szCs w:val="28"/>
          <w:lang w:val="en-IN"/>
          <w14:textFill>
            <w14:solidFill>
              <w14:schemeClr w14:val="tx1"/>
            </w14:solidFill>
          </w14:textFill>
        </w:rPr>
      </w:pPr>
      <w:r>
        <w:rPr>
          <w:lang w:val="en-IN"/>
        </w:rPr>
        <w:t>Biological processes are not the only determinants of health since social, economic, cultural and other environmental factors are crucial in health experiences and outcomes. The concept of health inequalities is made up of preventable and systemic disparities in health within individuals or social groups, whereas the concept of health disparity can entail differences in health outcomes or health service access between groups (</w:t>
      </w:r>
      <w:r>
        <w:rPr>
          <w:shd w:val="clear" w:color="auto" w:fill="FFFFFF"/>
        </w:rPr>
        <w:t xml:space="preserve">Macgregor </w:t>
      </w:r>
      <w:r>
        <w:rPr>
          <w:i/>
          <w:shd w:val="clear" w:color="auto" w:fill="FFFFFF"/>
        </w:rPr>
        <w:t>et al.,</w:t>
      </w:r>
      <w:r>
        <w:rPr>
          <w:shd w:val="clear" w:color="auto" w:fill="FFFFFF"/>
        </w:rPr>
        <w:t xml:space="preserve"> 2023</w:t>
      </w:r>
      <w:r>
        <w:rPr>
          <w:lang w:val="en-IN"/>
        </w:rPr>
        <w:t>). The sociological approach thus focuses on the way in which social structures, relationships and institutions impact understandings of health and illness. This essay will critically evaluate health inequalities and the social factors that are significant, as far as they affect them specifically: socioeconomic status, race and ethnicity, gender and geography. It will use sociological theories such as functionalism, Marxism and social constructionism to understand the nature of the definition and experience of health and illness in society. Social determinants of health will also be discussed in the essay since inequality in resources, opportunities and living conditions can result in inequality in health outcomes. Additionally, it will examine how medical institutions and medical practitioners have a part to play in building health and illness narratives via professional authority, medicalisation and diagnostic practices. The paper will ends by reflecting on equitable and socially responsive health and social care practice.</w:t>
      </w:r>
      <w:r>
        <w:rPr>
          <w:lang w:val="en-IN"/>
        </w:rPr>
        <w:br w:type="page"/>
      </w:r>
    </w:p>
    <w:p w14:paraId="7B2A4FED">
      <w:pPr>
        <w:pStyle w:val="2"/>
        <w:rPr>
          <w:lang w:val="en-IN"/>
        </w:rPr>
      </w:pPr>
      <w:bookmarkStart w:id="0" w:name="_Toc239505354"/>
      <w:r>
        <w:rPr>
          <w:lang w:val="en-IN"/>
        </w:rPr>
        <w:t>Sociological Perspectives on Health and Illness</w:t>
      </w:r>
      <w:bookmarkEnd w:id="0"/>
    </w:p>
    <w:p w14:paraId="0EA4BDBB">
      <w:pPr>
        <w:rPr>
          <w:lang w:val="en-IN"/>
        </w:rPr>
      </w:pPr>
      <w:r>
        <w:rPr>
          <w:b/>
          <w:bCs/>
          <w:lang w:val="en-IN"/>
        </w:rPr>
        <w:t>Social Constructionism</w:t>
      </w:r>
    </w:p>
    <w:p w14:paraId="40576293">
      <w:pPr>
        <w:rPr>
          <w:lang w:val="en-IN"/>
        </w:rPr>
      </w:pPr>
      <w:r>
        <w:rPr>
          <w:lang w:val="en-IN"/>
        </w:rPr>
        <w:t>According to social constructionism, health and illness are not purely biological phenomena, but are also culturally and socially constructed. This viewpoint assumes that what societies think of as healthy, normal or abnormal are constructed meanings and different societies in different historical periods and cultural contexts may have such different meanings (</w:t>
      </w:r>
      <w:r>
        <w:rPr>
          <w:shd w:val="clear" w:color="auto" w:fill="FFFFFF"/>
        </w:rPr>
        <w:t>Burr and Dick, 2025</w:t>
      </w:r>
      <w:r>
        <w:rPr>
          <w:lang w:val="en-IN"/>
        </w:rPr>
        <w:t>). Health is thus seen as a social construct, mirroring existing beliefs, values and expectations. Even such conditions which were previously regarded as moral deficiencies or personal weaknesses can in the future be defined as medical disorders and treated and assisted. This proves that both social attitudes and scientific knowledge impact the perception of illnesses. The notion of care is also a social construct since there are differences in the expectations of who is expected to give care, how care should be given and what is actually appropriate treatment across societies. These perceptions are formed by professionals in healthcare, policymakers and communities alike. Consequently, the experience of health and illness is not universal amongst people, because the social norms affect the interpretations, reporting and treatment of symptoms. The idea of social constructionism thus stresses the value of recognising health within a broader social and cultural framework as opposed to how it is perceived through a biomedical perspective (</w:t>
      </w:r>
      <w:r>
        <w:rPr>
          <w:shd w:val="clear" w:color="auto" w:fill="FFFFFF"/>
        </w:rPr>
        <w:t>Phillips, 2023</w:t>
      </w:r>
      <w:r>
        <w:rPr>
          <w:lang w:val="en-IN"/>
        </w:rPr>
        <w:t>).</w:t>
      </w:r>
    </w:p>
    <w:p w14:paraId="06CFFED1">
      <w:pPr>
        <w:rPr>
          <w:lang w:val="en-IN"/>
        </w:rPr>
      </w:pPr>
      <w:r>
        <w:rPr>
          <w:b/>
          <w:bCs/>
          <w:lang w:val="en-IN"/>
        </w:rPr>
        <w:t>Marxism</w:t>
      </w:r>
    </w:p>
    <w:p w14:paraId="14AAA69B">
      <w:pPr>
        <w:rPr>
          <w:lang w:val="en-IN"/>
        </w:rPr>
      </w:pPr>
      <w:r>
        <w:rPr>
          <w:lang w:val="en-IN"/>
        </w:rPr>
        <w:t>Marxist theory presents explanations of health and illness in terms of the impact of social class and economic constructs. In a sense, health outcomes are directly related to the unfair wealth, power and resource distribution in society (</w:t>
      </w:r>
      <w:r>
        <w:rPr>
          <w:shd w:val="clear" w:color="auto" w:fill="FFFFFF"/>
        </w:rPr>
        <w:t>Kamenka, 2025</w:t>
      </w:r>
      <w:r>
        <w:rPr>
          <w:lang w:val="en-IN"/>
        </w:rPr>
        <w:t>). Lower socioeconomic groups of people tend to have worse housing situations, less secure jobs, less income and less access to health-promoting resources, which can adversely influence well-being. As a result, illness patterns have been seen as a result of broader social/ economic inequalities, but not an individual lifestyle choice only.</w:t>
      </w:r>
    </w:p>
    <w:p w14:paraId="1DBD2A49">
      <w:pPr>
        <w:rPr>
          <w:lang w:val="en-IN"/>
        </w:rPr>
      </w:pPr>
      <w:r>
        <w:rPr>
          <w:lang w:val="en-IN"/>
        </w:rPr>
        <w:t>Marxism further considers healthcare as a subject of interest to economically powerful people. Social position usually dictates access to high-quality healthcare, nutritious foods and safe living environments, and hence different groups experience unequal health. The social justice and resource allocation issues are thus associated with the concept of care. Healthcare systems can contribute to combating illness, yet they might represent the current disparities in society (</w:t>
      </w:r>
      <w:r>
        <w:rPr>
          <w:shd w:val="clear" w:color="auto" w:fill="FFFFFF"/>
        </w:rPr>
        <w:t>Øversveen, 2022</w:t>
      </w:r>
      <w:r>
        <w:rPr>
          <w:lang w:val="en-IN"/>
        </w:rPr>
        <w:t>). As Marxism underlines the connection between health and the economic conditions of life, it proves that it is only on a broader structural level, such as poverty, employment and working conditions, instead of focusing on individual behaviour, that population health can be improved.</w:t>
      </w:r>
    </w:p>
    <w:p w14:paraId="2D593393">
      <w:pPr>
        <w:pStyle w:val="2"/>
        <w:rPr>
          <w:lang w:val="en-IN"/>
        </w:rPr>
      </w:pPr>
      <w:bookmarkStart w:id="1" w:name="_Toc239505355"/>
      <w:r>
        <w:rPr>
          <w:lang w:val="en-IN"/>
        </w:rPr>
        <w:t>Salient Social Factors and Inequalities</w:t>
      </w:r>
      <w:bookmarkEnd w:id="1"/>
    </w:p>
    <w:p w14:paraId="3046B9A7">
      <w:pPr>
        <w:rPr>
          <w:lang w:val="en-IN"/>
        </w:rPr>
      </w:pPr>
      <w:r>
        <w:rPr>
          <w:lang w:val="en-IN"/>
        </w:rPr>
        <w:t>Biological factors are not the only social determinants affecting health experiences and outcomes. The social determinants of health are the conditions under which individuals are born, grow, live, work and age, which may have a profound impact on physical and mental health. These determinants cause unequal access to good health and the provision of proper healthcare services among various populations in society, hence health inequalities. Socio-economic status, race and ethnicity, gender, and geography are some of the factors that determine the exposure of individuals to health risks, health behaviours and care access.</w:t>
      </w:r>
    </w:p>
    <w:p w14:paraId="5A1B9BB7">
      <w:pPr>
        <w:rPr>
          <w:lang w:val="en-IN"/>
        </w:rPr>
      </w:pPr>
      <w:r>
        <w:rPr>
          <w:lang w:val="en-IN"/>
        </w:rPr>
        <w:t>Socio-economic status is considered to be one of the most important determinants of health. Poor people will have less in terms of resources that can assist them to live healthy lives, such as healthy food, decent housing and education (</w:t>
      </w:r>
      <w:r>
        <w:rPr>
          <w:shd w:val="clear" w:color="auto" w:fill="FFFFFF"/>
        </w:rPr>
        <w:t xml:space="preserve">Silaen </w:t>
      </w:r>
      <w:r>
        <w:rPr>
          <w:i/>
          <w:shd w:val="clear" w:color="auto" w:fill="FFFFFF"/>
        </w:rPr>
        <w:t>et al.,</w:t>
      </w:r>
      <w:r>
        <w:rPr>
          <w:shd w:val="clear" w:color="auto" w:fill="FFFFFF"/>
        </w:rPr>
        <w:t xml:space="preserve"> 2025</w:t>
      </w:r>
      <w:r>
        <w:rPr>
          <w:lang w:val="en-IN"/>
        </w:rPr>
        <w:t>). People may experience a higher risk of environmental hazards, overcrowding and stress associated with poor health outcomes due to living conditions. Poorer education may also restrict health literacy; hence, individuals are able to comprehend health information and health care systems more easily. Despite the fact that personal lifestyle choices are mostly evaluated in regard to health outcomes, these choices are usually limited under economic conditions. Therefore, those who are socio-economically disadvantaged are more prone to some chronic illnesses and a shorter life expectancy. This shows that the health inequities are closely tied to the broader structural factors and not just to individual behaviour.</w:t>
      </w:r>
    </w:p>
    <w:p w14:paraId="7EE010ED">
      <w:pPr>
        <w:rPr>
          <w:lang w:val="en-IN"/>
        </w:rPr>
      </w:pPr>
      <w:r>
        <w:rPr>
          <w:lang w:val="en-IN"/>
        </w:rPr>
        <w:t>Race and ethnicity may also play an important role in experiences of health and access to healthcare. Ethnic minority members may also encounter a complex of challenges that affect their access to adequate care, which may include language barriers, cultural misunderstanding and bias (</w:t>
      </w:r>
      <w:r>
        <w:rPr>
          <w:shd w:val="clear" w:color="auto" w:fill="FFFFFF"/>
        </w:rPr>
        <w:t>Stockemer and Sundström, 2025</w:t>
      </w:r>
      <w:r>
        <w:rPr>
          <w:lang w:val="en-IN"/>
        </w:rPr>
        <w:t>). Unequal access to employment, housing and education, which can have an indirect impact on health outcomes, can be facilitated by structural racism. Besides, healthcare systems may be biased, and it may impact the diagnosis, options in the course of treatment and patient experiences. Although historical facts on certain health disparities have perceived biological variations that exist amongst ethnic groups, sociological studies are on the rise, showing the influence of social and environmental factors in explaining such disparities. Ethnicity itself is neutral to the health outcome; the social contexts of racial and ethnic inequalities lead to variations in health and access to healthcare. This underscores the importance of culturally sensitive and inclusive healthcare practices that take into account the varying needs of various groups.</w:t>
      </w:r>
    </w:p>
    <w:p w14:paraId="7549E868">
      <w:pPr>
        <w:rPr>
          <w:lang w:val="en-IN"/>
        </w:rPr>
      </w:pPr>
      <w:r>
        <w:rPr>
          <w:lang w:val="en-IN"/>
        </w:rPr>
        <w:t>One more important factor in health and healthcare experiences is gender. Health behaviours and attitudes to seeking medical assistance could be affected by social expectations of masculinity and femininity. Social norms promoting self-sufficiency and disapproving of displays of weakness might also lead men to be less inclined to seek health care. This may lead to the late diagnosis and treatment of health conditions (</w:t>
      </w:r>
      <w:r>
        <w:rPr>
          <w:shd w:val="clear" w:color="auto" w:fill="FFFFFF"/>
        </w:rPr>
        <w:t xml:space="preserve">Boerner </w:t>
      </w:r>
      <w:r>
        <w:rPr>
          <w:i/>
          <w:shd w:val="clear" w:color="auto" w:fill="FFFFFF"/>
        </w:rPr>
        <w:t>et al.,</w:t>
      </w:r>
      <w:r>
        <w:rPr>
          <w:shd w:val="clear" w:color="auto" w:fill="FFFFFF"/>
        </w:rPr>
        <w:t xml:space="preserve"> 2024</w:t>
      </w:r>
      <w:r>
        <w:rPr>
          <w:lang w:val="en-IN"/>
        </w:rPr>
        <w:t>). Women, in turn, tend to have particular health issues concerning reproductive health and might face gender bias in healthcare systems. Studies have indicated that women can have their symptoms dismissed or explained by emotions, which may delay diagnosis. There are also larger social circumstances which can be attributed to gender inequalities such as unequal caring roles, employment and levels of income. These considerations illustrate that biological sex differences are not the only factors affecting health outcomes but also gender roles and expectations constructed socially.</w:t>
      </w:r>
    </w:p>
    <w:p w14:paraId="3B5CD1E4">
      <w:pPr>
        <w:rPr>
          <w:lang w:val="en-IN"/>
        </w:rPr>
      </w:pPr>
      <w:r>
        <w:rPr>
          <w:lang w:val="en-IN"/>
        </w:rPr>
        <w:t>Geography has a considerable influence on experiences in health and access to healthcare services. The location where people reside, and the quality and access to healthcare services, may determine the exposure to both environmental hazards and benefits. Individuals living in rural/remote locations might experience challenges with accessing hospitals, special services and preventive care since distances to services get longer and fewer services are offered (</w:t>
      </w:r>
      <w:r>
        <w:rPr>
          <w:shd w:val="clear" w:color="auto" w:fill="FFFFFF"/>
        </w:rPr>
        <w:t xml:space="preserve">Kołodyńska </w:t>
      </w:r>
      <w:r>
        <w:rPr>
          <w:i/>
          <w:shd w:val="clear" w:color="auto" w:fill="FFFFFF"/>
        </w:rPr>
        <w:t>et al.,</w:t>
      </w:r>
      <w:r>
        <w:rPr>
          <w:shd w:val="clear" w:color="auto" w:fill="FFFFFF"/>
        </w:rPr>
        <w:t xml:space="preserve"> 2025</w:t>
      </w:r>
      <w:r>
        <w:rPr>
          <w:lang w:val="en-IN"/>
        </w:rPr>
        <w:t>). Conversely, urban populations could enjoy greater access to healthcare amenities, but could face health issues, which are linked to overpopulation, pollution, and social deprivation. Geographic disparities go hand in hand with socio-economic status, whereby disadvantaged regions have high illness and mortality and reduced access to medical care. An increase in online healthcare services has benefited certain groups of people, but digital exclusion has become an issue among people who cannot access digital services due to internet and technology illiteracy. As a result, geographical location may have a major impact on health opportunities and outcomes.</w:t>
      </w:r>
    </w:p>
    <w:p w14:paraId="6C5D3E22">
      <w:pPr>
        <w:rPr>
          <w:lang w:val="en-IN"/>
        </w:rPr>
      </w:pPr>
      <w:r>
        <w:rPr>
          <w:lang w:val="en-IN"/>
        </w:rPr>
        <w:t>These social determinants cannot work independently. People tend to have various types of disadvantage that can be combined and lead to health disparities. As an illustration, an individual with a low-income ethnic minority background in a rural region could encounter both economic and discrimination issues and lack of access to healthcare simultaneously. These overlapping determinants may increase disadvantages and form more intricate healthcare requirements (</w:t>
      </w:r>
      <w:r>
        <w:rPr>
          <w:shd w:val="clear" w:color="auto" w:fill="FFFFFF"/>
        </w:rPr>
        <w:t xml:space="preserve">Thomson </w:t>
      </w:r>
      <w:r>
        <w:rPr>
          <w:i/>
          <w:shd w:val="clear" w:color="auto" w:fill="FFFFFF"/>
        </w:rPr>
        <w:t>et al.,</w:t>
      </w:r>
      <w:r>
        <w:rPr>
          <w:shd w:val="clear" w:color="auto" w:fill="FFFFFF"/>
        </w:rPr>
        <w:t xml:space="preserve"> 2022</w:t>
      </w:r>
      <w:r>
        <w:rPr>
          <w:lang w:val="en-IN"/>
        </w:rPr>
        <w:t>). The explanation of health inequalities thus needs to take into account the various social determinants that interact as opposed to analysing them individually. All in all, race, ethnicity, gender, socio-economic status and geography play an important role in the experience of health and access to care. Their impact illustrates that health disparities are ingrained within larger social systems, and that policies and medical practice which emphasise the causes of disparities in health matter.</w:t>
      </w:r>
    </w:p>
    <w:p w14:paraId="6D53BCD0">
      <w:pPr>
        <w:rPr>
          <w:lang w:val="en-IN"/>
        </w:rPr>
      </w:pPr>
      <w:r>
        <w:rPr>
          <w:lang w:val="en-IN"/>
        </w:rPr>
        <w:t>The disparities in access to prevention services, access to health information and early intervention possibilities also promote health inequalities. Those who face social disadvantage might not seek care right away due to financial costs, unstable employment, their role as a guardian or past unpleasant encounters with the health care offerings. Even when the healthcare systems are set to treat everyone based on need, the social conditions of people might affect their ability to access, comprehend and utilise the services efficiently (</w:t>
      </w:r>
      <w:r>
        <w:rPr>
          <w:shd w:val="clear" w:color="auto" w:fill="FFFFFF"/>
        </w:rPr>
        <w:t xml:space="preserve">Nouwens </w:t>
      </w:r>
      <w:r>
        <w:rPr>
          <w:i/>
          <w:shd w:val="clear" w:color="auto" w:fill="FFFFFF"/>
        </w:rPr>
        <w:t>et al.,</w:t>
      </w:r>
      <w:r>
        <w:rPr>
          <w:shd w:val="clear" w:color="auto" w:fill="FFFFFF"/>
        </w:rPr>
        <w:t xml:space="preserve"> 2025</w:t>
      </w:r>
      <w:r>
        <w:rPr>
          <w:lang w:val="en-IN"/>
        </w:rPr>
        <w:t>). This implies that the provision of healthcare equally does not bring equal health outcomes. The fair method would therefore involve a situation whereby services acknowledge the varying degrees of need and resolve some obstacles that apply to disadvantaged populations. Additionally, placing too much emphasis on individual responsibility when it comes to health may fail to consider the structural conditions where behaviour and choices take shape. To take action effectively in response to health inequalities, therefore, requires collaboration between healthcare organisations, policymakers and communities to meet the needs of the present health as well as the overall social context that results in unequal health outcomes.</w:t>
      </w:r>
    </w:p>
    <w:p w14:paraId="6C2582C1">
      <w:pPr>
        <w:pStyle w:val="2"/>
        <w:rPr>
          <w:lang w:val="en-IN"/>
        </w:rPr>
      </w:pPr>
      <w:bookmarkStart w:id="2" w:name="_Toc239505356"/>
      <w:r>
        <w:rPr>
          <w:lang w:val="en-IN"/>
        </w:rPr>
        <w:t>Role of Medical Institutions and Professions</w:t>
      </w:r>
      <w:bookmarkEnd w:id="2"/>
    </w:p>
    <w:p w14:paraId="749B2952">
      <w:pPr>
        <w:rPr>
          <w:lang w:val="en-IN"/>
        </w:rPr>
      </w:pPr>
      <w:r>
        <w:rPr>
          <w:lang w:val="en-IN"/>
        </w:rPr>
        <w:t>Healthcare facilities and medical practitioners have a great influence on the development of societal health and illness perceptions. Their ability to diagnose, classify and treat medical conditions affects the way people have their health experiences and the way society determines what is normal, what is sick, and what is the good treatment. Medicalisation is one of the most important sociological terms applied to describe this influence, and it consists of making an element of daily life be prescribed and defined as a medical problem that should be dealt with by the professionals (</w:t>
      </w:r>
      <w:r>
        <w:rPr>
          <w:shd w:val="clear" w:color="auto" w:fill="FFFFFF"/>
        </w:rPr>
        <w:t>Bianchi, 2026</w:t>
      </w:r>
      <w:r>
        <w:rPr>
          <w:lang w:val="en-IN"/>
        </w:rPr>
        <w:t>).</w:t>
      </w:r>
    </w:p>
    <w:p w14:paraId="1AA36300">
      <w:pPr>
        <w:rPr>
          <w:lang w:val="en-IN"/>
        </w:rPr>
      </w:pPr>
      <w:r>
        <w:rPr>
          <w:lang w:val="en-IN"/>
        </w:rPr>
        <w:t>By increasing the scope of the medical process through rehabilitation of a wider variety of human lives, medicalisation has extended the boundaries of medicine. Historical social, personal or moral problems often transform into medical ones. This should offer such valuable advantages as increased awareness of health status, the availability of treatment and the lack of stigma among diseased people. As an example, medical knowledge on mental health disorders has helped more people to receive care and professional assistance which might otherwise not have been accessible. With neo-liberal governmental engagement and health advocacy of related issues, medicalisation can at least have a positive effect on health outcomes by making concerns in health real and promoting proper intervention.</w:t>
      </w:r>
    </w:p>
    <w:p w14:paraId="2D379751">
      <w:pPr>
        <w:rPr>
          <w:lang w:val="en-IN"/>
        </w:rPr>
      </w:pPr>
      <w:r>
        <w:rPr>
          <w:lang w:val="en-IN"/>
        </w:rPr>
        <w:t>Nevertheless, critics claim that medicalisation may have counter-productive results as well by, in inappropriate terms, defining social or personal problems as medical problems, likely to divert attention to the broader social causes of poor health (</w:t>
      </w:r>
      <w:r>
        <w:rPr>
          <w:shd w:val="clear" w:color="auto" w:fill="FFFFFF"/>
        </w:rPr>
        <w:t>AbdulRaheem, 2023</w:t>
      </w:r>
      <w:r>
        <w:rPr>
          <w:lang w:val="en-IN"/>
        </w:rPr>
        <w:t>). The problems of poverty, unemployment or social isolation can be cast as more of an individual medical problem rather than a wider societal one. This can lead to healthcare interventions being aimed at treating symptoms instead of underlying structural causes.</w:t>
      </w:r>
    </w:p>
    <w:p w14:paraId="6ADAE0EA">
      <w:pPr>
        <w:rPr>
          <w:lang w:val="en-IN"/>
        </w:rPr>
      </w:pPr>
      <w:r>
        <w:rPr>
          <w:lang w:val="en-IN"/>
        </w:rPr>
        <w:t>This process is mainly centred on professional power. Healthcare workers have specialised knowledge and expertise, which gives them power to decide what amounts to illness and treatment. This future power impacts the general opinion of health and patient experiences. Typically, healthcare practitioners are regarded to act as authority figures, and their diagnoses could be very influential to individuals as they get to understand perceptions of themselves and their diseases. In addition, healthcare facilities develop clinical standards, research priorities and healthcare policy, which impact on the delivery of medical care and resource allocation.</w:t>
      </w:r>
    </w:p>
    <w:p w14:paraId="2ABDBF5B">
      <w:pPr>
        <w:rPr>
          <w:lang w:val="en-IN"/>
        </w:rPr>
      </w:pPr>
      <w:r>
        <w:rPr>
          <w:lang w:val="en-IN"/>
        </w:rPr>
        <w:t>Although influenced by this, professional power is not necessarily negative. Medical establishments are essential in enhancing public health, advancing scientific knowledge and maximising health outcomes (</w:t>
      </w:r>
      <w:r>
        <w:rPr>
          <w:shd w:val="clear" w:color="auto" w:fill="FFFFFF"/>
        </w:rPr>
        <w:t xml:space="preserve">Diaz-Navarro </w:t>
      </w:r>
      <w:r>
        <w:rPr>
          <w:i/>
          <w:shd w:val="clear" w:color="auto" w:fill="FFFFFF"/>
        </w:rPr>
        <w:t>et al.,</w:t>
      </w:r>
      <w:r>
        <w:rPr>
          <w:shd w:val="clear" w:color="auto" w:fill="FFFFFF"/>
        </w:rPr>
        <w:t xml:space="preserve"> 2024</w:t>
      </w:r>
      <w:r>
        <w:rPr>
          <w:lang w:val="en-IN"/>
        </w:rPr>
        <w:t>). However, the sociological analysis underscores the necessity to scrutinise critically the ways in which professional authority/institutional practices influence the concepts of health and illness. It is only by understanding the advantages and disadvantages of medicalisation and professional power that a more balanced approach to health and healthcare will be realised.</w:t>
      </w:r>
    </w:p>
    <w:p w14:paraId="0D8DB204">
      <w:pPr>
        <w:rPr>
          <w:lang w:val="en-IN"/>
        </w:rPr>
      </w:pPr>
      <w:r>
        <w:rPr>
          <w:lang w:val="en-IN"/>
        </w:rPr>
        <w:t>Professional authority can be given a significant balance by the participation of patients. Shared decision-making, informed consent and person-centred care give patients an opportunity to share their experiences and preferences in healthcare decisions. This disrupts care models based solely on hierarchies and acknowledges the existence of valuable information held by patients regarding their life experiences. As a consequence, the best healthcare must be based on professional skills and the opinions of patients.</w:t>
      </w:r>
    </w:p>
    <w:p w14:paraId="3D8AF8B0">
      <w:pPr>
        <w:rPr>
          <w:lang w:val="en-IN"/>
        </w:rPr>
      </w:pPr>
    </w:p>
    <w:p w14:paraId="345D51B4">
      <w:pPr>
        <w:spacing w:before="0" w:after="200" w:line="276" w:lineRule="auto"/>
        <w:jc w:val="left"/>
        <w:rPr>
          <w:b/>
          <w:bCs/>
          <w:lang w:val="en-IN"/>
        </w:rPr>
      </w:pPr>
      <w:r>
        <w:rPr>
          <w:b/>
          <w:bCs/>
          <w:lang w:val="en-IN"/>
        </w:rPr>
        <w:br w:type="page"/>
      </w:r>
    </w:p>
    <w:p w14:paraId="1635B9B5">
      <w:pPr>
        <w:pStyle w:val="2"/>
        <w:rPr>
          <w:lang w:val="en-IN"/>
        </w:rPr>
      </w:pPr>
      <w:bookmarkStart w:id="3" w:name="_Toc239505357"/>
      <w:r>
        <w:rPr>
          <w:lang w:val="en-IN"/>
        </w:rPr>
        <w:t>Conclusion and Reflection</w:t>
      </w:r>
      <w:bookmarkEnd w:id="3"/>
    </w:p>
    <w:p w14:paraId="1A1146FA">
      <w:pPr>
        <w:rPr>
          <w:lang w:val="en-IN"/>
        </w:rPr>
      </w:pPr>
      <w:r>
        <w:rPr>
          <w:lang w:val="en-IN"/>
        </w:rPr>
        <w:t>This essay has shown that the processes of health and illness are the product of a complex interplay of social, economic and institutional processes, and not the result of entirely biological processes. Using social constructionism and Marxism, it has been demonstrated that health depends on social determinants and is influenced by broader structural inequalities. As noted in the discussion, socio-economic status, race and ethnicity, gender and geography are important factors that affect health experiences, healthcare access, and general health outcomes. By providing unequal chances to attain and sustain good health, the existence of these social determinants brings about continuing inequalities in health. The paper has also tested how medical institutions and medical practitioners influence the concept of health and illness in society via medicalisation, medical professionalism, and medical practice.</w:t>
      </w:r>
    </w:p>
    <w:p w14:paraId="34F9ACAD">
      <w:pPr>
        <w:rPr>
          <w:lang w:val="en-IN"/>
        </w:rPr>
      </w:pPr>
      <w:r>
        <w:rPr>
          <w:lang w:val="en-IN"/>
        </w:rPr>
        <w:t>These findings have significant implications for health and social care practice, which can be critically reflected upon. Healthcare workers should appreciate the fact that the health lives of patients are mostly influenced by events that are beyond the individual's control, such as poverty, discrimination and deficiency of essential resources. Biases in emphasising personal responsibility might prevent people from seeing the structural elements that lead to poor health outcomes. Consequently, a holistic approach is necessary in practice in health and social care, which should take into account the social conditions of patients' lives, guaranteeing the consideration of their medical needs. What is more, healthcare facilities must work to minimise disparities through inclusion policies, culturally appropriate care and equal access to services. Finally, the sociological view of health would aid practitioners to question inequalities, advance social justice and enhance person-centred ways of care, which would lead to better health outcomes among a wide range of people.</w:t>
      </w:r>
    </w:p>
    <w:p w14:paraId="37AFF0CF">
      <w:pPr>
        <w:spacing w:before="0" w:after="200" w:line="276" w:lineRule="auto"/>
        <w:jc w:val="left"/>
        <w:rPr>
          <w:lang w:val="en-IN"/>
        </w:rPr>
      </w:pPr>
      <w:r>
        <w:rPr>
          <w:lang w:val="en-IN"/>
        </w:rPr>
        <w:br w:type="page"/>
      </w:r>
    </w:p>
    <w:p w14:paraId="66E56176">
      <w:pPr>
        <w:pStyle w:val="2"/>
        <w:rPr>
          <w:lang w:val="en-IN"/>
        </w:rPr>
      </w:pPr>
      <w:bookmarkStart w:id="4" w:name="_Toc239505358"/>
      <w:r>
        <w:rPr>
          <w:lang w:val="en-IN"/>
        </w:rPr>
        <w:t>References</w:t>
      </w:r>
      <w:bookmarkEnd w:id="4"/>
    </w:p>
    <w:p w14:paraId="46FE4A85">
      <w:pPr>
        <w:rPr>
          <w:shd w:val="clear" w:color="auto" w:fill="FFFFFF"/>
        </w:rPr>
      </w:pPr>
      <w:r>
        <w:rPr>
          <w:shd w:val="clear" w:color="auto" w:fill="FFFFFF"/>
        </w:rPr>
        <w:t>AbdulRaheem, Y. (2023) Unveiling the significance and challenges of integrating prevention levels in healthcare practice. </w:t>
      </w:r>
      <w:r>
        <w:rPr>
          <w:i/>
          <w:iCs/>
          <w:shd w:val="clear" w:color="auto" w:fill="FFFFFF"/>
        </w:rPr>
        <w:t>Journal of primary care &amp; community health</w:t>
      </w:r>
      <w:r>
        <w:rPr>
          <w:shd w:val="clear" w:color="auto" w:fill="FFFFFF"/>
        </w:rPr>
        <w:t>, </w:t>
      </w:r>
      <w:r>
        <w:rPr>
          <w:i/>
          <w:iCs/>
          <w:shd w:val="clear" w:color="auto" w:fill="FFFFFF"/>
        </w:rPr>
        <w:t>14</w:t>
      </w:r>
      <w:r>
        <w:rPr>
          <w:shd w:val="clear" w:color="auto" w:fill="FFFFFF"/>
        </w:rPr>
        <w:t>, p.21501319231186500. https://doi.org/10.1177/21501319231186500</w:t>
      </w:r>
    </w:p>
    <w:p w14:paraId="247DB433">
      <w:r>
        <w:rPr>
          <w:shd w:val="clear" w:color="auto" w:fill="FFFFFF"/>
        </w:rPr>
        <w:t>Bianchi, M. (2026). Health Awareness and Preventive Healthcare Practices. </w:t>
      </w:r>
      <w:r>
        <w:rPr>
          <w:i/>
          <w:iCs/>
          <w:shd w:val="clear" w:color="auto" w:fill="FFFFFF"/>
        </w:rPr>
        <w:t>Revista Infoacceso</w:t>
      </w:r>
      <w:r>
        <w:rPr>
          <w:shd w:val="clear" w:color="auto" w:fill="FFFFFF"/>
        </w:rPr>
        <w:t>, </w:t>
      </w:r>
      <w:r>
        <w:rPr>
          <w:i/>
          <w:iCs/>
          <w:shd w:val="clear" w:color="auto" w:fill="FFFFFF"/>
        </w:rPr>
        <w:t>13</w:t>
      </w:r>
      <w:r>
        <w:rPr>
          <w:shd w:val="clear" w:color="auto" w:fill="FFFFFF"/>
        </w:rPr>
        <w:t>(2), 724-728. https://www.infoacceso.org/index.php/ri/article/view/355</w:t>
      </w:r>
    </w:p>
    <w:p w14:paraId="0576C0E1">
      <w:pPr>
        <w:rPr>
          <w:shd w:val="clear" w:color="auto" w:fill="FFFFFF"/>
        </w:rPr>
      </w:pPr>
      <w:r>
        <w:rPr>
          <w:shd w:val="clear" w:color="auto" w:fill="FFFFFF"/>
        </w:rPr>
        <w:t>Boerner, K. E., Keogh, E., Inkster, A. M., Nahman-Averbuch, H., and Oberlander, T. F. (2024). A developmental framework for understanding the influence of sex and gender on health: pediatric pain as an exemplar. </w:t>
      </w:r>
      <w:r>
        <w:rPr>
          <w:i/>
          <w:iCs/>
          <w:shd w:val="clear" w:color="auto" w:fill="FFFFFF"/>
        </w:rPr>
        <w:t>Neuroscience &amp; Biobehavioral Reviews</w:t>
      </w:r>
      <w:r>
        <w:rPr>
          <w:shd w:val="clear" w:color="auto" w:fill="FFFFFF"/>
        </w:rPr>
        <w:t>, </w:t>
      </w:r>
      <w:r>
        <w:rPr>
          <w:i/>
          <w:iCs/>
          <w:shd w:val="clear" w:color="auto" w:fill="FFFFFF"/>
        </w:rPr>
        <w:t>158</w:t>
      </w:r>
      <w:r>
        <w:rPr>
          <w:shd w:val="clear" w:color="auto" w:fill="FFFFFF"/>
        </w:rPr>
        <w:t xml:space="preserve">, 105546. </w:t>
      </w:r>
      <w:r>
        <w:fldChar w:fldCharType="begin"/>
      </w:r>
      <w:r>
        <w:instrText xml:space="preserve"> HYPERLINK "https://www.sciencedirect.com/science/article/pii/S0149763424000149" </w:instrText>
      </w:r>
      <w:r>
        <w:fldChar w:fldCharType="separate"/>
      </w:r>
      <w:r>
        <w:rPr>
          <w:rStyle w:val="12"/>
          <w:shd w:val="clear" w:color="auto" w:fill="FFFFFF"/>
        </w:rPr>
        <w:t>https://www.sciencedirect.com/science/article/pii/S0149763424000149</w:t>
      </w:r>
      <w:r>
        <w:rPr>
          <w:rStyle w:val="12"/>
          <w:shd w:val="clear" w:color="auto" w:fill="FFFFFF"/>
        </w:rPr>
        <w:fldChar w:fldCharType="end"/>
      </w:r>
    </w:p>
    <w:p w14:paraId="37D21BA1">
      <w:pPr>
        <w:rPr>
          <w:shd w:val="clear" w:color="auto" w:fill="FFFFFF"/>
        </w:rPr>
      </w:pPr>
      <w:r>
        <w:rPr>
          <w:shd w:val="clear" w:color="auto" w:fill="FFFFFF"/>
        </w:rPr>
        <w:t>Burr, V., and Dick, P. (2025). Social constructionism. In </w:t>
      </w:r>
      <w:r>
        <w:rPr>
          <w:i/>
          <w:iCs/>
          <w:shd w:val="clear" w:color="auto" w:fill="FFFFFF"/>
        </w:rPr>
        <w:t>The Palgrave handbook of critical social psychology</w:t>
      </w:r>
      <w:r>
        <w:rPr>
          <w:shd w:val="clear" w:color="auto" w:fill="FFFFFF"/>
        </w:rPr>
        <w:t> (pp. 61-82). Cham: Springer Nature Switzerland. https://doi.org/10.1007/978-3-031-80533-2_4</w:t>
      </w:r>
    </w:p>
    <w:p w14:paraId="127AC98E">
      <w:pPr>
        <w:rPr>
          <w:shd w:val="clear" w:color="auto" w:fill="FFFFFF"/>
        </w:rPr>
      </w:pPr>
      <w:r>
        <w:rPr>
          <w:shd w:val="clear" w:color="auto" w:fill="FFFFFF"/>
        </w:rPr>
        <w:t>Diaz-Navarro, C., Armstrong, R., Charnetski, M., Freeman, K. J., Koh, S., Reedy, G., and Issenberg, B. (2024). Global consensus statement on simulation-based practice in healthcare. </w:t>
      </w:r>
      <w:r>
        <w:rPr>
          <w:i/>
          <w:iCs/>
          <w:shd w:val="clear" w:color="auto" w:fill="FFFFFF"/>
        </w:rPr>
        <w:t>Advances in Simulation</w:t>
      </w:r>
      <w:r>
        <w:rPr>
          <w:shd w:val="clear" w:color="auto" w:fill="FFFFFF"/>
        </w:rPr>
        <w:t>, </w:t>
      </w:r>
      <w:r>
        <w:rPr>
          <w:i/>
          <w:iCs/>
          <w:shd w:val="clear" w:color="auto" w:fill="FFFFFF"/>
        </w:rPr>
        <w:t>9</w:t>
      </w:r>
      <w:r>
        <w:rPr>
          <w:shd w:val="clear" w:color="auto" w:fill="FFFFFF"/>
        </w:rPr>
        <w:t>(1), 19. https://doi.org/10.1186/s41077-024-00288-1</w:t>
      </w:r>
    </w:p>
    <w:p w14:paraId="0B930CCE">
      <w:pPr>
        <w:rPr>
          <w:shd w:val="clear" w:color="auto" w:fill="FFFFFF"/>
        </w:rPr>
      </w:pPr>
      <w:r>
        <w:rPr>
          <w:shd w:val="clear" w:color="auto" w:fill="FFFFFF"/>
        </w:rPr>
        <w:t>Kamenka, E. (2025). Public/private in Marxist theory and Marxist practice. In </w:t>
      </w:r>
      <w:r>
        <w:rPr>
          <w:i/>
          <w:iCs/>
          <w:shd w:val="clear" w:color="auto" w:fill="FFFFFF"/>
        </w:rPr>
        <w:t>Public and Private in Social Life</w:t>
      </w:r>
      <w:r>
        <w:rPr>
          <w:shd w:val="clear" w:color="auto" w:fill="FFFFFF"/>
        </w:rPr>
        <w:t> (pp. 267-279). Routledge. https://www.taylorfrancis.com/chapters/edit/10.4324/9781003601678-14/public-private-marxist-theory-marxist-practice-eugene-kamenka</w:t>
      </w:r>
    </w:p>
    <w:p w14:paraId="235EE180">
      <w:pPr>
        <w:rPr>
          <w:shd w:val="clear" w:color="auto" w:fill="FFFFFF"/>
        </w:rPr>
      </w:pPr>
      <w:r>
        <w:rPr>
          <w:shd w:val="clear" w:color="auto" w:fill="FFFFFF"/>
        </w:rPr>
        <w:t>Kołodyńska, I., Hasanzadeh, K., Krajewski, P., and Kyttä, M. (2025). The influence of structural characteristics, perceived environmental quality and spatial behaviour on health and well-being of suburban dwellers-a context sensitive study. </w:t>
      </w:r>
      <w:r>
        <w:rPr>
          <w:i/>
          <w:iCs/>
          <w:shd w:val="clear" w:color="auto" w:fill="FFFFFF"/>
        </w:rPr>
        <w:t>Applied Geography</w:t>
      </w:r>
      <w:r>
        <w:rPr>
          <w:shd w:val="clear" w:color="auto" w:fill="FFFFFF"/>
        </w:rPr>
        <w:t>, </w:t>
      </w:r>
      <w:r>
        <w:rPr>
          <w:i/>
          <w:iCs/>
          <w:shd w:val="clear" w:color="auto" w:fill="FFFFFF"/>
        </w:rPr>
        <w:t>184</w:t>
      </w:r>
      <w:r>
        <w:rPr>
          <w:shd w:val="clear" w:color="auto" w:fill="FFFFFF"/>
        </w:rPr>
        <w:t xml:space="preserve">, 103763. </w:t>
      </w:r>
      <w:r>
        <w:fldChar w:fldCharType="begin"/>
      </w:r>
      <w:r>
        <w:instrText xml:space="preserve"> HYPERLINK "https://doi.org/10.1016/j.apgeog.2025.103763" </w:instrText>
      </w:r>
      <w:r>
        <w:fldChar w:fldCharType="separate"/>
      </w:r>
      <w:r>
        <w:rPr>
          <w:rStyle w:val="12"/>
          <w:shd w:val="clear" w:color="auto" w:fill="FFFFFF"/>
        </w:rPr>
        <w:t>https://doi.org/10.1016/j.apgeog.2025.103763</w:t>
      </w:r>
      <w:r>
        <w:rPr>
          <w:rStyle w:val="12"/>
          <w:shd w:val="clear" w:color="auto" w:fill="FFFFFF"/>
        </w:rPr>
        <w:fldChar w:fldCharType="end"/>
      </w:r>
    </w:p>
    <w:p w14:paraId="09FDBADA">
      <w:pPr>
        <w:rPr>
          <w:shd w:val="clear" w:color="auto" w:fill="FFFFFF"/>
        </w:rPr>
      </w:pPr>
      <w:r>
        <w:rPr>
          <w:shd w:val="clear" w:color="auto" w:fill="FFFFFF"/>
        </w:rPr>
        <w:t>Macgregor, C., Walumbe, J., Tulle, E., Seenan, C., and Blane, D. N. (2023). Intersectionality as a theoretical framework for researching health inequities in chronic pain. </w:t>
      </w:r>
      <w:r>
        <w:rPr>
          <w:i/>
          <w:iCs/>
          <w:shd w:val="clear" w:color="auto" w:fill="FFFFFF"/>
        </w:rPr>
        <w:t>British Journal of Pain</w:t>
      </w:r>
      <w:r>
        <w:rPr>
          <w:shd w:val="clear" w:color="auto" w:fill="FFFFFF"/>
        </w:rPr>
        <w:t>, </w:t>
      </w:r>
      <w:r>
        <w:rPr>
          <w:i/>
          <w:iCs/>
          <w:shd w:val="clear" w:color="auto" w:fill="FFFFFF"/>
        </w:rPr>
        <w:t>17</w:t>
      </w:r>
      <w:r>
        <w:rPr>
          <w:shd w:val="clear" w:color="auto" w:fill="FFFFFF"/>
        </w:rPr>
        <w:t xml:space="preserve">(5), 479-490. </w:t>
      </w:r>
      <w:r>
        <w:fldChar w:fldCharType="begin"/>
      </w:r>
      <w:r>
        <w:instrText xml:space="preserve"> HYPERLINK "https://doi.org/10.1177/20494637231188583" </w:instrText>
      </w:r>
      <w:r>
        <w:fldChar w:fldCharType="separate"/>
      </w:r>
      <w:r>
        <w:rPr>
          <w:rStyle w:val="12"/>
          <w:shd w:val="clear" w:color="auto" w:fill="FFFFFF"/>
        </w:rPr>
        <w:t>https://doi.org/10.1177/20494637231188583</w:t>
      </w:r>
      <w:r>
        <w:rPr>
          <w:rStyle w:val="12"/>
          <w:shd w:val="clear" w:color="auto" w:fill="FFFFFF"/>
        </w:rPr>
        <w:fldChar w:fldCharType="end"/>
      </w:r>
    </w:p>
    <w:p w14:paraId="65F5FE62">
      <w:pPr>
        <w:rPr>
          <w:shd w:val="clear" w:color="auto" w:fill="FFFFFF"/>
        </w:rPr>
      </w:pPr>
      <w:r>
        <w:rPr>
          <w:shd w:val="clear" w:color="auto" w:fill="FFFFFF"/>
        </w:rPr>
        <w:t>Nouwens, S. P. H., Veldwijk, J., Pilli, L., and de Bekker-Grob, E. W. (2025). Exploring social influences on healthcare user decision-making. </w:t>
      </w:r>
      <w:r>
        <w:rPr>
          <w:i/>
          <w:iCs/>
          <w:shd w:val="clear" w:color="auto" w:fill="FFFFFF"/>
        </w:rPr>
        <w:t>Social Science &amp; Medicine</w:t>
      </w:r>
      <w:r>
        <w:rPr>
          <w:shd w:val="clear" w:color="auto" w:fill="FFFFFF"/>
        </w:rPr>
        <w:t xml:space="preserve">, 118480. </w:t>
      </w:r>
      <w:r>
        <w:fldChar w:fldCharType="begin"/>
      </w:r>
      <w:r>
        <w:instrText xml:space="preserve"> HYPERLINK "https://doi.org/10.1016/j.socscimed.2025.118480" </w:instrText>
      </w:r>
      <w:r>
        <w:fldChar w:fldCharType="separate"/>
      </w:r>
      <w:r>
        <w:rPr>
          <w:rStyle w:val="12"/>
          <w:shd w:val="clear" w:color="auto" w:fill="FFFFFF"/>
        </w:rPr>
        <w:t>https://doi.org/10.1016/j.socscimed.2025.118480</w:t>
      </w:r>
      <w:r>
        <w:rPr>
          <w:rStyle w:val="12"/>
          <w:shd w:val="clear" w:color="auto" w:fill="FFFFFF"/>
        </w:rPr>
        <w:fldChar w:fldCharType="end"/>
      </w:r>
    </w:p>
    <w:p w14:paraId="292CD07E">
      <w:pPr>
        <w:rPr>
          <w:shd w:val="clear" w:color="auto" w:fill="FFFFFF"/>
        </w:rPr>
      </w:pPr>
      <w:r>
        <w:rPr>
          <w:shd w:val="clear" w:color="auto" w:fill="FFFFFF"/>
        </w:rPr>
        <w:t>Øversveen, E. (2022). Capitalism and alienation: Towards a Marxist theory of alienation for the 21st century. </w:t>
      </w:r>
      <w:r>
        <w:rPr>
          <w:i/>
          <w:iCs/>
          <w:shd w:val="clear" w:color="auto" w:fill="FFFFFF"/>
        </w:rPr>
        <w:t>European Journal of Social Theory</w:t>
      </w:r>
      <w:r>
        <w:rPr>
          <w:shd w:val="clear" w:color="auto" w:fill="FFFFFF"/>
        </w:rPr>
        <w:t>, </w:t>
      </w:r>
      <w:r>
        <w:rPr>
          <w:i/>
          <w:iCs/>
          <w:shd w:val="clear" w:color="auto" w:fill="FFFFFF"/>
        </w:rPr>
        <w:t>25</w:t>
      </w:r>
      <w:r>
        <w:rPr>
          <w:shd w:val="clear" w:color="auto" w:fill="FFFFFF"/>
        </w:rPr>
        <w:t>(3), 440-457. https://doi.org/10.1177/13684310211021579</w:t>
      </w:r>
    </w:p>
    <w:p w14:paraId="374731EA">
      <w:pPr>
        <w:rPr>
          <w:shd w:val="clear" w:color="auto" w:fill="FFFFFF"/>
        </w:rPr>
      </w:pPr>
      <w:r>
        <w:rPr>
          <w:shd w:val="clear" w:color="auto" w:fill="FFFFFF"/>
        </w:rPr>
        <w:t>Phillips, M. J. (2023). Towards a social constructionist, criticalist, Foucauldian-informed qualitative research approach: Opportunities and challenges. </w:t>
      </w:r>
      <w:r>
        <w:rPr>
          <w:i/>
          <w:iCs/>
          <w:shd w:val="clear" w:color="auto" w:fill="FFFFFF"/>
        </w:rPr>
        <w:t>SN Social Sciences</w:t>
      </w:r>
      <w:r>
        <w:rPr>
          <w:shd w:val="clear" w:color="auto" w:fill="FFFFFF"/>
        </w:rPr>
        <w:t>, </w:t>
      </w:r>
      <w:r>
        <w:rPr>
          <w:i/>
          <w:iCs/>
          <w:shd w:val="clear" w:color="auto" w:fill="FFFFFF"/>
        </w:rPr>
        <w:t>3</w:t>
      </w:r>
      <w:r>
        <w:rPr>
          <w:shd w:val="clear" w:color="auto" w:fill="FFFFFF"/>
        </w:rPr>
        <w:t xml:space="preserve">(10), 175. </w:t>
      </w:r>
      <w:r>
        <w:fldChar w:fldCharType="begin"/>
      </w:r>
      <w:r>
        <w:instrText xml:space="preserve"> HYPERLINK "https://doi.org/10.1007/s43545-023-00774-9" </w:instrText>
      </w:r>
      <w:r>
        <w:fldChar w:fldCharType="separate"/>
      </w:r>
      <w:r>
        <w:rPr>
          <w:rStyle w:val="12"/>
          <w:shd w:val="clear" w:color="auto" w:fill="FFFFFF"/>
        </w:rPr>
        <w:t>https://doi.org/10.1007/s43545-023-00774-9</w:t>
      </w:r>
      <w:r>
        <w:rPr>
          <w:rStyle w:val="12"/>
          <w:shd w:val="clear" w:color="auto" w:fill="FFFFFF"/>
        </w:rPr>
        <w:fldChar w:fldCharType="end"/>
      </w:r>
    </w:p>
    <w:p w14:paraId="4152A411">
      <w:pPr>
        <w:rPr>
          <w:shd w:val="clear" w:color="auto" w:fill="FFFFFF"/>
        </w:rPr>
      </w:pPr>
      <w:r>
        <w:rPr>
          <w:shd w:val="clear" w:color="auto" w:fill="FFFFFF"/>
        </w:rPr>
        <w:t>Silaen, M., Rahayu, S., Aryanti, I., Prasetyo, A., Wahyuni, S., Wahyono, T. T., and Marannu, B. (2025). Health and socio-economic factors as determinants of antenatal care service access in Indonesia. </w:t>
      </w:r>
      <w:r>
        <w:rPr>
          <w:i/>
          <w:iCs/>
          <w:shd w:val="clear" w:color="auto" w:fill="FFFFFF"/>
        </w:rPr>
        <w:t>Clinical Epidemiology and Global Health</w:t>
      </w:r>
      <w:r>
        <w:rPr>
          <w:shd w:val="clear" w:color="auto" w:fill="FFFFFF"/>
        </w:rPr>
        <w:t>, </w:t>
      </w:r>
      <w:r>
        <w:rPr>
          <w:i/>
          <w:iCs/>
          <w:shd w:val="clear" w:color="auto" w:fill="FFFFFF"/>
        </w:rPr>
        <w:t>33</w:t>
      </w:r>
      <w:r>
        <w:rPr>
          <w:shd w:val="clear" w:color="auto" w:fill="FFFFFF"/>
        </w:rPr>
        <w:t xml:space="preserve">, 102010. </w:t>
      </w:r>
      <w:r>
        <w:fldChar w:fldCharType="begin"/>
      </w:r>
      <w:r>
        <w:instrText xml:space="preserve"> HYPERLINK "https://doi.org/10.1016/j.cegh.2025.102010" </w:instrText>
      </w:r>
      <w:r>
        <w:fldChar w:fldCharType="separate"/>
      </w:r>
      <w:r>
        <w:rPr>
          <w:rStyle w:val="12"/>
          <w:shd w:val="clear" w:color="auto" w:fill="FFFFFF"/>
        </w:rPr>
        <w:t>https://doi.org/10.1016/j.cegh.2025.102010</w:t>
      </w:r>
      <w:r>
        <w:rPr>
          <w:rStyle w:val="12"/>
          <w:shd w:val="clear" w:color="auto" w:fill="FFFFFF"/>
        </w:rPr>
        <w:fldChar w:fldCharType="end"/>
      </w:r>
    </w:p>
    <w:p w14:paraId="1A6CF3A6">
      <w:pPr>
        <w:rPr>
          <w:shd w:val="clear" w:color="auto" w:fill="FFFFFF"/>
        </w:rPr>
      </w:pPr>
      <w:r>
        <w:rPr>
          <w:shd w:val="clear" w:color="auto" w:fill="FFFFFF"/>
        </w:rPr>
        <w:t>Stockemer, D. and Sundström, A. (2025) Age inequalities in political representation: A review article. </w:t>
      </w:r>
      <w:r>
        <w:rPr>
          <w:i/>
          <w:iCs/>
          <w:shd w:val="clear" w:color="auto" w:fill="FFFFFF"/>
        </w:rPr>
        <w:t>Government and Opposition</w:t>
      </w:r>
      <w:r>
        <w:rPr>
          <w:shd w:val="clear" w:color="auto" w:fill="FFFFFF"/>
        </w:rPr>
        <w:t>, </w:t>
      </w:r>
      <w:r>
        <w:rPr>
          <w:i/>
          <w:iCs/>
          <w:shd w:val="clear" w:color="auto" w:fill="FFFFFF"/>
        </w:rPr>
        <w:t>60</w:t>
      </w:r>
      <w:r>
        <w:rPr>
          <w:shd w:val="clear" w:color="auto" w:fill="FFFFFF"/>
        </w:rPr>
        <w:t xml:space="preserve">(1), pp.271-288. </w:t>
      </w:r>
      <w:r>
        <w:fldChar w:fldCharType="begin"/>
      </w:r>
      <w:r>
        <w:instrText xml:space="preserve"> HYPERLINK "https://doi.org/10.1017/gov.2023.11" </w:instrText>
      </w:r>
      <w:r>
        <w:fldChar w:fldCharType="separate"/>
      </w:r>
      <w:r>
        <w:rPr>
          <w:rStyle w:val="12"/>
          <w:shd w:val="clear" w:color="auto" w:fill="FFFFFF"/>
        </w:rPr>
        <w:t>https://doi.org/10.1017/gov.2023.11</w:t>
      </w:r>
      <w:r>
        <w:rPr>
          <w:rStyle w:val="12"/>
          <w:shd w:val="clear" w:color="auto" w:fill="FFFFFF"/>
        </w:rPr>
        <w:fldChar w:fldCharType="end"/>
      </w:r>
    </w:p>
    <w:p w14:paraId="60CBE81E">
      <w:pPr>
        <w:rPr>
          <w:shd w:val="clear" w:color="auto" w:fill="FFFFFF"/>
        </w:rPr>
      </w:pPr>
      <w:r>
        <w:rPr>
          <w:shd w:val="clear" w:color="auto" w:fill="FFFFFF"/>
        </w:rPr>
        <w:t>Thomson, R. M., Igelström, E., Purba, A. K., Shimonovich, M., Thomson, H., McCartney, G., and Katikireddi, S. V. (2022). How do income changes impact on mental health and wellbeing for working-age adults? A systematic review and meta-analysis. </w:t>
      </w:r>
      <w:r>
        <w:rPr>
          <w:i/>
          <w:iCs/>
          <w:shd w:val="clear" w:color="auto" w:fill="FFFFFF"/>
        </w:rPr>
        <w:t>The Lancet Public Health</w:t>
      </w:r>
      <w:r>
        <w:rPr>
          <w:shd w:val="clear" w:color="auto" w:fill="FFFFFF"/>
        </w:rPr>
        <w:t>, </w:t>
      </w:r>
      <w:r>
        <w:rPr>
          <w:i/>
          <w:iCs/>
          <w:shd w:val="clear" w:color="auto" w:fill="FFFFFF"/>
        </w:rPr>
        <w:t>7</w:t>
      </w:r>
      <w:r>
        <w:rPr>
          <w:shd w:val="clear" w:color="auto" w:fill="FFFFFF"/>
        </w:rPr>
        <w:t xml:space="preserve">(6), e515-e528. </w:t>
      </w:r>
      <w:r>
        <w:fldChar w:fldCharType="begin"/>
      </w:r>
      <w:r>
        <w:instrText xml:space="preserve"> HYPERLINK "https://www.thelancet.com/journals/lanpub/article/PIIS2468-2667(22)00058-5/fulltext" </w:instrText>
      </w:r>
      <w:r>
        <w:fldChar w:fldCharType="separate"/>
      </w:r>
      <w:r>
        <w:rPr>
          <w:rStyle w:val="12"/>
          <w:shd w:val="clear" w:color="auto" w:fill="FFFFFF"/>
        </w:rPr>
        <w:t>https://www.thelancet.com/journals/lanpub/article/PIIS2468-2667(22)00058-5/fulltext</w:t>
      </w:r>
      <w:r>
        <w:rPr>
          <w:rStyle w:val="12"/>
          <w:shd w:val="clear" w:color="auto" w:fill="FFFFFF"/>
        </w:rPr>
        <w:fldChar w:fldCharType="end"/>
      </w:r>
    </w:p>
    <w:p w14:paraId="2EAD8683"/>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8245438"/>
      <w:docPartObj>
        <w:docPartGallery w:val="autotext"/>
      </w:docPartObj>
    </w:sdtPr>
    <w:sdtContent>
      <w:p w14:paraId="01222CDF">
        <w:pPr>
          <w:pStyle w:val="10"/>
          <w:jc w:val="right"/>
        </w:pPr>
        <w:r>
          <w:fldChar w:fldCharType="begin"/>
        </w:r>
        <w:r>
          <w:instrText xml:space="preserve"> PAGE   \* MERGEFORMAT </w:instrText>
        </w:r>
        <w:r>
          <w:fldChar w:fldCharType="separate"/>
        </w:r>
        <w:r>
          <w:t>10</w:t>
        </w:r>
        <w:r>
          <w:fldChar w:fldCharType="end"/>
        </w:r>
      </w:p>
    </w:sdtContent>
  </w:sdt>
  <w:p w14:paraId="0863372F">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912"/>
    <w:rsid w:val="000375FE"/>
    <w:rsid w:val="00063D08"/>
    <w:rsid w:val="00091EE0"/>
    <w:rsid w:val="000D34CA"/>
    <w:rsid w:val="00123D34"/>
    <w:rsid w:val="00141ED2"/>
    <w:rsid w:val="001549B3"/>
    <w:rsid w:val="00156D7F"/>
    <w:rsid w:val="00165F5D"/>
    <w:rsid w:val="00194CC3"/>
    <w:rsid w:val="001B57FB"/>
    <w:rsid w:val="001C3D27"/>
    <w:rsid w:val="00205DBC"/>
    <w:rsid w:val="00207E69"/>
    <w:rsid w:val="00210FD8"/>
    <w:rsid w:val="002201EF"/>
    <w:rsid w:val="002275BD"/>
    <w:rsid w:val="00261FE9"/>
    <w:rsid w:val="00272726"/>
    <w:rsid w:val="0029579F"/>
    <w:rsid w:val="002A48D9"/>
    <w:rsid w:val="002B1EC0"/>
    <w:rsid w:val="002B5086"/>
    <w:rsid w:val="002B7211"/>
    <w:rsid w:val="002D1AE3"/>
    <w:rsid w:val="00301F3A"/>
    <w:rsid w:val="003956C9"/>
    <w:rsid w:val="00397A04"/>
    <w:rsid w:val="003D0118"/>
    <w:rsid w:val="00481800"/>
    <w:rsid w:val="00487F18"/>
    <w:rsid w:val="004A3912"/>
    <w:rsid w:val="004C1907"/>
    <w:rsid w:val="004D62C5"/>
    <w:rsid w:val="0052000F"/>
    <w:rsid w:val="005239BF"/>
    <w:rsid w:val="005B382A"/>
    <w:rsid w:val="006009DA"/>
    <w:rsid w:val="00663722"/>
    <w:rsid w:val="006B3185"/>
    <w:rsid w:val="006B50CD"/>
    <w:rsid w:val="006F50B1"/>
    <w:rsid w:val="007142F6"/>
    <w:rsid w:val="00746CE3"/>
    <w:rsid w:val="007910E9"/>
    <w:rsid w:val="007D0C69"/>
    <w:rsid w:val="007D2DDC"/>
    <w:rsid w:val="00824B51"/>
    <w:rsid w:val="0084188C"/>
    <w:rsid w:val="008675E5"/>
    <w:rsid w:val="008855B6"/>
    <w:rsid w:val="008939E6"/>
    <w:rsid w:val="008A5FF1"/>
    <w:rsid w:val="008C3F16"/>
    <w:rsid w:val="008E11F6"/>
    <w:rsid w:val="0098252F"/>
    <w:rsid w:val="009A33EB"/>
    <w:rsid w:val="009F2E12"/>
    <w:rsid w:val="00A03DB8"/>
    <w:rsid w:val="00A509A5"/>
    <w:rsid w:val="00A51A3A"/>
    <w:rsid w:val="00A649B9"/>
    <w:rsid w:val="00A80D34"/>
    <w:rsid w:val="00A86B22"/>
    <w:rsid w:val="00AD5732"/>
    <w:rsid w:val="00B13AF8"/>
    <w:rsid w:val="00B56273"/>
    <w:rsid w:val="00B631E6"/>
    <w:rsid w:val="00B958CC"/>
    <w:rsid w:val="00BF64AD"/>
    <w:rsid w:val="00C32F51"/>
    <w:rsid w:val="00C74809"/>
    <w:rsid w:val="00CE4CA8"/>
    <w:rsid w:val="00CE740A"/>
    <w:rsid w:val="00D552F0"/>
    <w:rsid w:val="00D5730F"/>
    <w:rsid w:val="00D96C25"/>
    <w:rsid w:val="00DD7CDC"/>
    <w:rsid w:val="00E12CCE"/>
    <w:rsid w:val="00E12F29"/>
    <w:rsid w:val="00E17602"/>
    <w:rsid w:val="00E2488E"/>
    <w:rsid w:val="00E472AE"/>
    <w:rsid w:val="00E70262"/>
    <w:rsid w:val="00EB0653"/>
    <w:rsid w:val="00ED41E3"/>
    <w:rsid w:val="00F12289"/>
    <w:rsid w:val="00F32819"/>
    <w:rsid w:val="00F40E65"/>
    <w:rsid w:val="00F80D0A"/>
    <w:rsid w:val="00F9427D"/>
    <w:rsid w:val="00FB6E80"/>
    <w:rsid w:val="61DE5FBF"/>
    <w:rsid w:val="7A39690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both"/>
    </w:pPr>
    <w:rPr>
      <w:rFonts w:ascii="Times New Roman" w:hAnsi="Times New Roman" w:eastAsiaTheme="minorHAnsi" w:cstheme="minorBidi"/>
      <w:sz w:val="24"/>
      <w:szCs w:val="22"/>
      <w:lang w:val="en-GB" w:eastAsia="en-US" w:bidi="ar-SA"/>
    </w:rPr>
  </w:style>
  <w:style w:type="paragraph" w:styleId="2">
    <w:name w:val="heading 1"/>
    <w:basedOn w:val="1"/>
    <w:next w:val="1"/>
    <w:link w:val="16"/>
    <w:autoRedefine/>
    <w:qFormat/>
    <w:uiPriority w:val="9"/>
    <w:pPr>
      <w:keepNext/>
      <w:keepLines/>
      <w:spacing w:before="600" w:after="240"/>
      <w:outlineLvl w:val="0"/>
    </w:pPr>
    <w:rPr>
      <w:rFonts w:eastAsiaTheme="majorEastAsia" w:cstheme="majorBidi"/>
      <w:b/>
      <w:bCs/>
      <w:color w:val="000000" w:themeColor="text1"/>
      <w:sz w:val="28"/>
      <w:szCs w:val="28"/>
      <w14:textFill>
        <w14:solidFill>
          <w14:schemeClr w14:val="tx1"/>
        </w14:solidFill>
      </w14:textFill>
    </w:rPr>
  </w:style>
  <w:style w:type="paragraph" w:styleId="3">
    <w:name w:val="heading 2"/>
    <w:basedOn w:val="1"/>
    <w:next w:val="1"/>
    <w:link w:val="17"/>
    <w:autoRedefine/>
    <w:unhideWhenUsed/>
    <w:qFormat/>
    <w:uiPriority w:val="9"/>
    <w:pPr>
      <w:keepNext/>
      <w:keepLines/>
      <w:outlineLvl w:val="1"/>
    </w:pPr>
    <w:rPr>
      <w:rFonts w:eastAsiaTheme="majorEastAsia" w:cstheme="majorBidi"/>
      <w:bCs/>
      <w:color w:val="000000" w:themeColor="text1"/>
      <w:sz w:val="26"/>
      <w:szCs w:val="26"/>
      <w:u w:val="single"/>
      <w14:textFill>
        <w14:solidFill>
          <w14:schemeClr w14:val="tx1"/>
        </w14:solidFill>
      </w14:textFill>
    </w:rPr>
  </w:style>
  <w:style w:type="paragraph" w:styleId="4">
    <w:name w:val="heading 3"/>
    <w:basedOn w:val="1"/>
    <w:next w:val="1"/>
    <w:link w:val="19"/>
    <w:autoRedefine/>
    <w:semiHidden/>
    <w:unhideWhenUsed/>
    <w:qFormat/>
    <w:uiPriority w:val="9"/>
    <w:pPr>
      <w:keepNext/>
      <w:keepLines/>
      <w:spacing w:before="0" w:after="0"/>
      <w:outlineLvl w:val="2"/>
    </w:pPr>
    <w:rPr>
      <w:rFonts w:asciiTheme="majorHAnsi" w:hAnsiTheme="majorHAnsi" w:eastAsiaTheme="majorEastAsia" w:cstheme="majorBidi"/>
      <w:bCs/>
      <w:i/>
      <w:color w:val="000000" w:themeColor="text1"/>
      <w14:textFill>
        <w14:solidFill>
          <w14:schemeClr w14:val="tx1"/>
        </w14:solidFill>
      </w14:textFill>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4"/>
    <w:semiHidden/>
    <w:unhideWhenUsed/>
    <w:uiPriority w:val="99"/>
    <w:pPr>
      <w:spacing w:before="0" w:after="0" w:line="240" w:lineRule="auto"/>
    </w:pPr>
    <w:rPr>
      <w:rFonts w:ascii="Segoe UI" w:hAnsi="Segoe UI" w:cs="Segoe UI"/>
      <w:sz w:val="18"/>
      <w:szCs w:val="18"/>
    </w:rPr>
  </w:style>
  <w:style w:type="character" w:styleId="8">
    <w:name w:val="annotation reference"/>
    <w:basedOn w:val="5"/>
    <w:semiHidden/>
    <w:unhideWhenUsed/>
    <w:uiPriority w:val="99"/>
    <w:rPr>
      <w:sz w:val="16"/>
      <w:szCs w:val="16"/>
    </w:rPr>
  </w:style>
  <w:style w:type="paragraph" w:styleId="9">
    <w:name w:val="annotation text"/>
    <w:basedOn w:val="1"/>
    <w:semiHidden/>
    <w:unhideWhenUsed/>
    <w:uiPriority w:val="99"/>
    <w:pPr>
      <w:jc w:val="left"/>
    </w:pPr>
  </w:style>
  <w:style w:type="paragraph" w:styleId="10">
    <w:name w:val="footer"/>
    <w:basedOn w:val="1"/>
    <w:link w:val="22"/>
    <w:unhideWhenUsed/>
    <w:qFormat/>
    <w:uiPriority w:val="99"/>
    <w:pPr>
      <w:tabs>
        <w:tab w:val="center" w:pos="4513"/>
        <w:tab w:val="right" w:pos="9026"/>
      </w:tabs>
      <w:spacing w:before="0" w:after="0" w:line="240" w:lineRule="auto"/>
    </w:pPr>
  </w:style>
  <w:style w:type="paragraph" w:styleId="11">
    <w:name w:val="header"/>
    <w:basedOn w:val="1"/>
    <w:link w:val="21"/>
    <w:unhideWhenUsed/>
    <w:qFormat/>
    <w:uiPriority w:val="99"/>
    <w:pPr>
      <w:tabs>
        <w:tab w:val="center" w:pos="4513"/>
        <w:tab w:val="right" w:pos="9026"/>
      </w:tabs>
      <w:spacing w:before="0" w:after="0" w:line="240" w:lineRule="auto"/>
    </w:pPr>
  </w:style>
  <w:style w:type="character" w:styleId="12">
    <w:name w:val="Hyperlink"/>
    <w:basedOn w:val="5"/>
    <w:unhideWhenUsed/>
    <w:uiPriority w:val="99"/>
    <w:rPr>
      <w:color w:val="0000FF" w:themeColor="hyperlink"/>
      <w:u w:val="single"/>
      <w14:textFill>
        <w14:solidFill>
          <w14:schemeClr w14:val="hlink"/>
        </w14:solidFill>
      </w14:textFill>
    </w:rPr>
  </w:style>
  <w:style w:type="table" w:styleId="13">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link w:val="18"/>
    <w:autoRedefine/>
    <w:qFormat/>
    <w:uiPriority w:val="10"/>
    <w:pPr>
      <w:pBdr>
        <w:bottom w:val="single" w:color="4F81BD" w:themeColor="accent1" w:sz="8" w:space="4"/>
      </w:pBdr>
      <w:spacing w:before="0" w:after="300"/>
      <w:contextualSpacing/>
    </w:pPr>
    <w:rPr>
      <w:rFonts w:eastAsiaTheme="majorEastAsia" w:cstheme="majorBidi"/>
      <w:color w:val="000000" w:themeColor="text1"/>
      <w:spacing w:val="5"/>
      <w:kern w:val="28"/>
      <w:sz w:val="52"/>
      <w:szCs w:val="52"/>
      <w14:textFill>
        <w14:solidFill>
          <w14:schemeClr w14:val="tx1"/>
        </w14:solidFill>
      </w14:textFill>
    </w:rPr>
  </w:style>
  <w:style w:type="paragraph" w:styleId="15">
    <w:name w:val="toc 1"/>
    <w:basedOn w:val="1"/>
    <w:next w:val="1"/>
    <w:autoRedefine/>
    <w:unhideWhenUsed/>
    <w:qFormat/>
    <w:uiPriority w:val="39"/>
    <w:pPr>
      <w:spacing w:after="100"/>
    </w:pPr>
  </w:style>
  <w:style w:type="character" w:customStyle="1" w:styleId="16">
    <w:name w:val="Heading 1 Char"/>
    <w:basedOn w:val="5"/>
    <w:link w:val="2"/>
    <w:uiPriority w:val="9"/>
    <w:rPr>
      <w:rFonts w:ascii="Times New Roman" w:hAnsi="Times New Roman" w:eastAsiaTheme="majorEastAsia" w:cstheme="majorBidi"/>
      <w:b/>
      <w:bCs/>
      <w:color w:val="000000" w:themeColor="text1"/>
      <w:sz w:val="28"/>
      <w:szCs w:val="28"/>
      <w14:textFill>
        <w14:solidFill>
          <w14:schemeClr w14:val="tx1"/>
        </w14:solidFill>
      </w14:textFill>
    </w:rPr>
  </w:style>
  <w:style w:type="character" w:customStyle="1" w:styleId="17">
    <w:name w:val="Heading 2 Char"/>
    <w:basedOn w:val="5"/>
    <w:link w:val="3"/>
    <w:uiPriority w:val="9"/>
    <w:rPr>
      <w:rFonts w:ascii="Times New Roman" w:hAnsi="Times New Roman" w:eastAsiaTheme="majorEastAsia" w:cstheme="majorBidi"/>
      <w:bCs/>
      <w:color w:val="000000" w:themeColor="text1"/>
      <w:sz w:val="26"/>
      <w:szCs w:val="26"/>
      <w:u w:val="single"/>
      <w14:textFill>
        <w14:solidFill>
          <w14:schemeClr w14:val="tx1"/>
        </w14:solidFill>
      </w14:textFill>
    </w:rPr>
  </w:style>
  <w:style w:type="character" w:customStyle="1" w:styleId="18">
    <w:name w:val="Title Char"/>
    <w:basedOn w:val="5"/>
    <w:link w:val="14"/>
    <w:uiPriority w:val="10"/>
    <w:rPr>
      <w:rFonts w:ascii="Times New Roman" w:hAnsi="Times New Roman" w:eastAsiaTheme="majorEastAsia" w:cstheme="majorBidi"/>
      <w:color w:val="000000" w:themeColor="text1"/>
      <w:spacing w:val="5"/>
      <w:kern w:val="28"/>
      <w:sz w:val="52"/>
      <w:szCs w:val="52"/>
      <w14:textFill>
        <w14:solidFill>
          <w14:schemeClr w14:val="tx1"/>
        </w14:solidFill>
      </w14:textFill>
    </w:rPr>
  </w:style>
  <w:style w:type="character" w:customStyle="1" w:styleId="19">
    <w:name w:val="Heading 3 Char"/>
    <w:basedOn w:val="5"/>
    <w:link w:val="4"/>
    <w:semiHidden/>
    <w:uiPriority w:val="9"/>
    <w:rPr>
      <w:rFonts w:asciiTheme="majorHAnsi" w:hAnsiTheme="majorHAnsi" w:eastAsiaTheme="majorEastAsia" w:cstheme="majorBidi"/>
      <w:bCs/>
      <w:i/>
      <w:color w:val="000000" w:themeColor="text1"/>
      <w:sz w:val="24"/>
      <w14:textFill>
        <w14:solidFill>
          <w14:schemeClr w14:val="tx1"/>
        </w14:solidFill>
      </w14:textFill>
    </w:rPr>
  </w:style>
  <w:style w:type="paragraph" w:styleId="20">
    <w:name w:val="List Paragraph"/>
    <w:basedOn w:val="1"/>
    <w:qFormat/>
    <w:uiPriority w:val="34"/>
    <w:pPr>
      <w:ind w:left="720"/>
      <w:contextualSpacing/>
    </w:pPr>
  </w:style>
  <w:style w:type="character" w:customStyle="1" w:styleId="21">
    <w:name w:val="Header Char"/>
    <w:basedOn w:val="5"/>
    <w:link w:val="11"/>
    <w:uiPriority w:val="99"/>
    <w:rPr>
      <w:rFonts w:ascii="Times New Roman" w:hAnsi="Times New Roman"/>
      <w:sz w:val="24"/>
    </w:rPr>
  </w:style>
  <w:style w:type="character" w:customStyle="1" w:styleId="22">
    <w:name w:val="Footer Char"/>
    <w:basedOn w:val="5"/>
    <w:link w:val="10"/>
    <w:uiPriority w:val="99"/>
    <w:rPr>
      <w:rFonts w:ascii="Times New Roman" w:hAnsi="Times New Roman"/>
      <w:sz w:val="24"/>
    </w:rPr>
  </w:style>
  <w:style w:type="paragraph" w:customStyle="1" w:styleId="23">
    <w:name w:val="TOC Heading1"/>
    <w:basedOn w:val="2"/>
    <w:next w:val="1"/>
    <w:unhideWhenUsed/>
    <w:qFormat/>
    <w:uiPriority w:val="39"/>
    <w:pPr>
      <w:spacing w:before="240" w:after="0" w:line="259" w:lineRule="auto"/>
      <w:jc w:val="left"/>
      <w:outlineLvl w:val="9"/>
    </w:pPr>
    <w:rPr>
      <w:rFonts w:asciiTheme="majorHAnsi" w:hAnsiTheme="majorHAnsi"/>
      <w:b w:val="0"/>
      <w:bCs w:val="0"/>
      <w:color w:val="376092" w:themeColor="accent1" w:themeShade="BF"/>
      <w:sz w:val="32"/>
      <w:szCs w:val="32"/>
      <w:lang w:val="en-US"/>
    </w:rPr>
  </w:style>
  <w:style w:type="character" w:customStyle="1" w:styleId="24">
    <w:name w:val="Balloon Text Char"/>
    <w:basedOn w:val="5"/>
    <w:link w:val="7"/>
    <w:semiHidden/>
    <w:uiPriority w:val="99"/>
    <w:rPr>
      <w:rFonts w:ascii="Segoe UI" w:hAnsi="Segoe UI" w:cs="Segoe UI"/>
      <w:sz w:val="18"/>
      <w:szCs w:val="18"/>
      <w:lang w:val="en-GB"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EFEE8-762B-4E16-9F4A-EA33452918FB}">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12</Pages>
  <Words>3346</Words>
  <Characters>19078</Characters>
  <DocSecurity>0</DocSecurity>
  <Lines>158</Lines>
  <Paragraphs>44</Paragraphs>
  <ScaleCrop>false</ScaleCrop>
  <LinksUpToDate>false</LinksUpToDate>
  <CharactersWithSpaces>22380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2026-09-05T05:27:00Z</dcterms:created>
  <dcterms:modified xsi:type="dcterms:W3CDTF">2026-09-12T09:27:32Z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df76c244-16c0-4bd1-8939-009b39f7b7a7</vt:lpwstr>
  </property>
  <property fmtid="{D5CDD505-2E9C-101B-9397-08002B2CF9AE}" pid="3" name="KSOProductBuildVer">
    <vt:lpwstr>2057-12.2.0.23206</vt:lpwstr>
  </property>
  <property fmtid="{D5CDD505-2E9C-101B-9397-08002B2CF9AE}" pid="4" name="ICV">
    <vt:lpwstr>CCA27127DAB94274B589250C2157D0F2_12</vt:lpwstr>
  </property>
</Properties>
</file>