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 w14:paraId="00000002"/>
    <w:p w14:paraId="00000003"/>
    <w:p w14:paraId="00000004"/>
    <w:p w14:paraId="00000005"/>
    <w:p w14:paraId="00000006">
      <w:pPr>
        <w:rPr>
          <w:b/>
          <w:bCs/>
          <w:sz w:val="28"/>
          <w:szCs w:val="28"/>
        </w:rPr>
      </w:pPr>
    </w:p>
    <w:p w14:paraId="00000007">
      <w:pPr>
        <w:jc w:val="center"/>
        <w:rPr>
          <w:b/>
          <w:bCs/>
          <w:sz w:val="28"/>
          <w:szCs w:val="28"/>
        </w:rPr>
      </w:pPr>
    </w:p>
    <w:p w14:paraId="00000008">
      <w:pPr>
        <w:jc w:val="center"/>
        <w:rPr>
          <w:b/>
          <w:bCs/>
          <w:sz w:val="28"/>
          <w:szCs w:val="28"/>
        </w:rPr>
      </w:pPr>
    </w:p>
    <w:p w14:paraId="00000009">
      <w:pPr>
        <w:jc w:val="center"/>
        <w:rPr>
          <w:b/>
          <w:bCs/>
          <w:sz w:val="32"/>
          <w:szCs w:val="32"/>
        </w:rPr>
      </w:pPr>
      <w:r>
        <w:rPr>
          <w:b/>
          <w:bCs/>
          <w:sz w:val="32"/>
          <w:szCs w:val="32"/>
          <w:rtl w:val="0"/>
        </w:rPr>
        <w:t>THE FOUR EQUALITIES OF THE YUGOSLAV FEDERATION, 1943–1946</w:t>
      </w:r>
    </w:p>
    <w:p w14:paraId="0000000A">
      <w:pPr>
        <w:spacing w:line="278" w:lineRule="auto"/>
        <w:jc w:val="left"/>
        <w:rPr>
          <w:b/>
          <w:bCs/>
          <w:sz w:val="28"/>
          <w:szCs w:val="28"/>
        </w:rPr>
      </w:pPr>
      <w:r>
        <w:br w:type="page"/>
      </w:r>
    </w:p>
    <w:p w14:paraId="0000000B">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center"/>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Table of Contents</w:t>
      </w:r>
    </w:p>
    <w:sdt>
      <w:sdtPr>
        <w:id w:val="-1"/>
        <w:docPartObj>
          <w:docPartGallery w:val="Table of Contents"/>
          <w:docPartUnique/>
        </w:docPartObj>
      </w:sdtPr>
      <w:sdtContent>
        <w:p w14:paraId="63F1CACD">
          <w:pPr>
            <w:rPr>
              <w:sz w:val="24"/>
              <w:szCs w:val="24"/>
              <w:lang w:val="en"/>
            </w:rPr>
          </w:pPr>
          <w:r>
            <w:fldChar w:fldCharType="begin"/>
          </w:r>
          <w:r>
            <w:instrText xml:space="preserve"> TOC \h \u \z \t "Heading 1,1,Heading 2,2,Heading 3,3,"</w:instrText>
          </w:r>
          <w:r>
            <w:fldChar w:fldCharType="separate"/>
          </w:r>
        </w:p>
        <w:p w14:paraId="54DAC98D">
          <w:pPr>
            <w:pStyle w:val="12"/>
            <w:tabs>
              <w:tab w:val="right" w:leader="dot" w:pos="9360"/>
            </w:tabs>
          </w:pPr>
          <w:r>
            <w:fldChar w:fldCharType="begin"/>
          </w:r>
          <w:r>
            <w:instrText xml:space="preserve"> HYPERLINK \l _Toc821358629 </w:instrText>
          </w:r>
          <w:r>
            <w:fldChar w:fldCharType="separate"/>
          </w:r>
          <w:r>
            <w:rPr>
              <w:rtl w:val="0"/>
            </w:rPr>
            <w:t>1. Introduction</w:t>
          </w:r>
          <w:r>
            <w:tab/>
          </w:r>
          <w:r>
            <w:fldChar w:fldCharType="begin"/>
          </w:r>
          <w:r>
            <w:instrText xml:space="preserve"> PAGEREF _Toc821358629 \h </w:instrText>
          </w:r>
          <w:r>
            <w:fldChar w:fldCharType="separate"/>
          </w:r>
          <w:r>
            <w:t>3</w:t>
          </w:r>
          <w:r>
            <w:fldChar w:fldCharType="end"/>
          </w:r>
          <w:r>
            <w:fldChar w:fldCharType="end"/>
          </w:r>
        </w:p>
        <w:p w14:paraId="3BD532D0">
          <w:pPr>
            <w:pStyle w:val="12"/>
            <w:tabs>
              <w:tab w:val="right" w:leader="dot" w:pos="9360"/>
            </w:tabs>
          </w:pPr>
          <w:r>
            <w:fldChar w:fldCharType="begin"/>
          </w:r>
          <w:r>
            <w:instrText xml:space="preserve"> HYPERLINK \l _Toc549594687 </w:instrText>
          </w:r>
          <w:r>
            <w:fldChar w:fldCharType="separate"/>
          </w:r>
          <w:r>
            <w:rPr>
              <w:rtl w:val="0"/>
            </w:rPr>
            <w:t>2. Historical Context</w:t>
          </w:r>
          <w:r>
            <w:tab/>
          </w:r>
          <w:r>
            <w:fldChar w:fldCharType="begin"/>
          </w:r>
          <w:r>
            <w:instrText xml:space="preserve"> PAGEREF _Toc549594687 \h </w:instrText>
          </w:r>
          <w:r>
            <w:fldChar w:fldCharType="separate"/>
          </w:r>
          <w:r>
            <w:t>3</w:t>
          </w:r>
          <w:r>
            <w:fldChar w:fldCharType="end"/>
          </w:r>
          <w:r>
            <w:fldChar w:fldCharType="end"/>
          </w:r>
        </w:p>
        <w:p w14:paraId="634A9E92">
          <w:pPr>
            <w:pStyle w:val="12"/>
            <w:tabs>
              <w:tab w:val="right" w:leader="dot" w:pos="9360"/>
            </w:tabs>
          </w:pPr>
          <w:r>
            <w:fldChar w:fldCharType="begin"/>
          </w:r>
          <w:r>
            <w:instrText xml:space="preserve"> HYPERLINK \l _Toc710738662 </w:instrText>
          </w:r>
          <w:r>
            <w:fldChar w:fldCharType="separate"/>
          </w:r>
          <w:r>
            <w:rPr>
              <w:rtl w:val="0"/>
            </w:rPr>
            <w:t>3. Equality of Individual Citizens</w:t>
          </w:r>
          <w:r>
            <w:tab/>
          </w:r>
          <w:r>
            <w:fldChar w:fldCharType="begin"/>
          </w:r>
          <w:r>
            <w:instrText xml:space="preserve"> PAGEREF _Toc710738662 \h </w:instrText>
          </w:r>
          <w:r>
            <w:fldChar w:fldCharType="separate"/>
          </w:r>
          <w:r>
            <w:t>4</w:t>
          </w:r>
          <w:r>
            <w:fldChar w:fldCharType="end"/>
          </w:r>
          <w:r>
            <w:fldChar w:fldCharType="end"/>
          </w:r>
        </w:p>
        <w:p w14:paraId="677D7D81">
          <w:pPr>
            <w:pStyle w:val="12"/>
            <w:tabs>
              <w:tab w:val="right" w:leader="dot" w:pos="9360"/>
            </w:tabs>
          </w:pPr>
          <w:r>
            <w:fldChar w:fldCharType="begin"/>
          </w:r>
          <w:r>
            <w:instrText xml:space="preserve"> HYPERLINK \l _Toc1080647620 </w:instrText>
          </w:r>
          <w:r>
            <w:fldChar w:fldCharType="separate"/>
          </w:r>
          <w:r>
            <w:rPr>
              <w:rtl w:val="0"/>
            </w:rPr>
            <w:t>4. Equality of the Federal Republics</w:t>
          </w:r>
          <w:r>
            <w:tab/>
          </w:r>
          <w:r>
            <w:fldChar w:fldCharType="begin"/>
          </w:r>
          <w:r>
            <w:instrText xml:space="preserve"> PAGEREF _Toc1080647620 \h </w:instrText>
          </w:r>
          <w:r>
            <w:fldChar w:fldCharType="separate"/>
          </w:r>
          <w:r>
            <w:t>4</w:t>
          </w:r>
          <w:r>
            <w:fldChar w:fldCharType="end"/>
          </w:r>
          <w:r>
            <w:fldChar w:fldCharType="end"/>
          </w:r>
        </w:p>
        <w:p w14:paraId="7A66F27F">
          <w:pPr>
            <w:pStyle w:val="12"/>
            <w:tabs>
              <w:tab w:val="right" w:leader="dot" w:pos="9360"/>
            </w:tabs>
          </w:pPr>
          <w:r>
            <w:fldChar w:fldCharType="begin"/>
          </w:r>
          <w:r>
            <w:instrText xml:space="preserve"> HYPERLINK \l _Toc1175346661 </w:instrText>
          </w:r>
          <w:r>
            <w:fldChar w:fldCharType="separate"/>
          </w:r>
          <w:r>
            <w:rPr>
              <w:rtl w:val="0"/>
            </w:rPr>
            <w:t>5. Equality of the Yugoslav Peoples</w:t>
          </w:r>
          <w:r>
            <w:tab/>
          </w:r>
          <w:r>
            <w:fldChar w:fldCharType="begin"/>
          </w:r>
          <w:r>
            <w:instrText xml:space="preserve"> PAGEREF _Toc1175346661 \h </w:instrText>
          </w:r>
          <w:r>
            <w:fldChar w:fldCharType="separate"/>
          </w:r>
          <w:r>
            <w:t>5</w:t>
          </w:r>
          <w:r>
            <w:fldChar w:fldCharType="end"/>
          </w:r>
          <w:r>
            <w:fldChar w:fldCharType="end"/>
          </w:r>
        </w:p>
        <w:p w14:paraId="3DB6CFA9">
          <w:pPr>
            <w:pStyle w:val="12"/>
            <w:tabs>
              <w:tab w:val="right" w:leader="dot" w:pos="9360"/>
            </w:tabs>
          </w:pPr>
          <w:r>
            <w:fldChar w:fldCharType="begin"/>
          </w:r>
          <w:r>
            <w:instrText xml:space="preserve"> HYPERLINK \l _Toc1496746321 </w:instrText>
          </w:r>
          <w:r>
            <w:fldChar w:fldCharType="separate"/>
          </w:r>
          <w:r>
            <w:rPr>
              <w:rtl w:val="0"/>
            </w:rPr>
            <w:t>6. Equality Through the Liberation Struggle</w:t>
          </w:r>
          <w:r>
            <w:tab/>
          </w:r>
          <w:r>
            <w:fldChar w:fldCharType="begin"/>
          </w:r>
          <w:r>
            <w:instrText xml:space="preserve"> PAGEREF _Toc1496746321 \h </w:instrText>
          </w:r>
          <w:r>
            <w:fldChar w:fldCharType="separate"/>
          </w:r>
          <w:r>
            <w:t>5</w:t>
          </w:r>
          <w:r>
            <w:fldChar w:fldCharType="end"/>
          </w:r>
          <w:r>
            <w:fldChar w:fldCharType="end"/>
          </w:r>
        </w:p>
        <w:p w14:paraId="47009489">
          <w:pPr>
            <w:pStyle w:val="12"/>
            <w:tabs>
              <w:tab w:val="right" w:leader="dot" w:pos="9360"/>
            </w:tabs>
          </w:pPr>
          <w:r>
            <w:fldChar w:fldCharType="begin"/>
          </w:r>
          <w:r>
            <w:instrText xml:space="preserve"> HYPERLINK \l _Toc191976089 </w:instrText>
          </w:r>
          <w:r>
            <w:fldChar w:fldCharType="separate"/>
          </w:r>
          <w:r>
            <w:rPr>
              <w:rtl w:val="0"/>
            </w:rPr>
            <w:t>7. Limits and Contradictions</w:t>
          </w:r>
          <w:r>
            <w:tab/>
          </w:r>
          <w:r>
            <w:fldChar w:fldCharType="begin"/>
          </w:r>
          <w:r>
            <w:instrText xml:space="preserve"> PAGEREF _Toc191976089 \h </w:instrText>
          </w:r>
          <w:r>
            <w:fldChar w:fldCharType="separate"/>
          </w:r>
          <w:r>
            <w:t>6</w:t>
          </w:r>
          <w:r>
            <w:fldChar w:fldCharType="end"/>
          </w:r>
          <w:r>
            <w:fldChar w:fldCharType="end"/>
          </w:r>
        </w:p>
        <w:p w14:paraId="2BB65515">
          <w:pPr>
            <w:pStyle w:val="12"/>
            <w:tabs>
              <w:tab w:val="right" w:leader="dot" w:pos="9360"/>
            </w:tabs>
          </w:pPr>
          <w:r>
            <w:fldChar w:fldCharType="begin"/>
          </w:r>
          <w:r>
            <w:instrText xml:space="preserve"> HYPERLINK \l _Toc1021690029 </w:instrText>
          </w:r>
          <w:r>
            <w:fldChar w:fldCharType="separate"/>
          </w:r>
          <w:r>
            <w:rPr>
              <w:rtl w:val="0"/>
            </w:rPr>
            <w:t>Conclusion</w:t>
          </w:r>
          <w:r>
            <w:tab/>
          </w:r>
          <w:r>
            <w:fldChar w:fldCharType="begin"/>
          </w:r>
          <w:r>
            <w:instrText xml:space="preserve"> PAGEREF _Toc1021690029 \h </w:instrText>
          </w:r>
          <w:r>
            <w:fldChar w:fldCharType="separate"/>
          </w:r>
          <w:r>
            <w:t>7</w:t>
          </w:r>
          <w:r>
            <w:fldChar w:fldCharType="end"/>
          </w:r>
          <w:r>
            <w:fldChar w:fldCharType="end"/>
          </w:r>
        </w:p>
        <w:p w14:paraId="6749B199">
          <w:pPr>
            <w:pStyle w:val="12"/>
            <w:tabs>
              <w:tab w:val="right" w:leader="dot" w:pos="9360"/>
            </w:tabs>
          </w:pPr>
          <w:r>
            <w:fldChar w:fldCharType="begin"/>
          </w:r>
          <w:r>
            <w:instrText xml:space="preserve"> HYPERLINK \l _Toc265075991 </w:instrText>
          </w:r>
          <w:r>
            <w:fldChar w:fldCharType="separate"/>
          </w:r>
          <w:r>
            <w:rPr>
              <w:rtl w:val="0"/>
            </w:rPr>
            <w:t>Bibliography</w:t>
          </w:r>
          <w:r>
            <w:tab/>
          </w:r>
          <w:r>
            <w:fldChar w:fldCharType="begin"/>
          </w:r>
          <w:r>
            <w:instrText xml:space="preserve"> PAGEREF _Toc265075991 \h </w:instrText>
          </w:r>
          <w:r>
            <w:fldChar w:fldCharType="separate"/>
          </w:r>
          <w:r>
            <w:t>8</w:t>
          </w:r>
          <w:r>
            <w:fldChar w:fldCharType="end"/>
          </w:r>
          <w:r>
            <w:fldChar w:fldCharType="end"/>
          </w: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360" w:lineRule="auto"/>
            <w:ind w:left="0" w:right="0" w:firstLine="0"/>
            <w:jc w:val="both"/>
          </w:pPr>
          <w:r>
            <w:fldChar w:fldCharType="end"/>
          </w:r>
        </w:p>
      </w:sdtContent>
    </w:sdt>
    <w:p w14:paraId="00000016">
      <w:pPr>
        <w:rPr>
          <w:b/>
          <w:bCs/>
          <w:sz w:val="28"/>
          <w:szCs w:val="28"/>
        </w:rPr>
      </w:pPr>
    </w:p>
    <w:p w14:paraId="00000017">
      <w:r>
        <w:br w:type="page"/>
      </w:r>
    </w:p>
    <w:p w14:paraId="00000018">
      <w:pPr>
        <w:pStyle w:val="2"/>
      </w:pPr>
      <w:bookmarkStart w:id="0" w:name="_Toc821358629"/>
      <w:r>
        <w:rPr>
          <w:rtl w:val="0"/>
        </w:rPr>
        <w:t>1. Introduction</w:t>
      </w:r>
      <w:bookmarkEnd w:id="0"/>
    </w:p>
    <w:p w14:paraId="00000019">
      <w:r>
        <w:rPr>
          <w:rtl w:val="0"/>
        </w:rPr>
        <w:t>The second meeting of the Antifascist Council of National Liberation of Yugoslavia (AVNOJ) took place in Jajce, on 29–30 November 1943, and it was during this meeting that it was decided that post-war Yugoslavia would be rebuilt as a federation based on national equality.</w:t>
      </w:r>
      <w:r>
        <w:rPr>
          <w:vertAlign w:val="superscript"/>
        </w:rPr>
        <w:footnoteReference w:id="0"/>
      </w:r>
      <w:r>
        <w:rPr>
          <w:rtl w:val="0"/>
        </w:rPr>
        <w:t xml:space="preserve"> This wartime pledge was established as a Constitutional System by an act of the Constitution of the Federal People's Republic of Yugoslavia, adopted 31 January 1946. Article 1 defined Yugoslavia as a community of peoples with “equal rights” and stated that they “</w:t>
      </w:r>
      <w:r>
        <w:rPr>
          <w:rFonts w:hint="default"/>
          <w:rtl w:val="0"/>
        </w:rPr>
        <w:t>have expressed their will to live together in a federative state</w:t>
      </w:r>
      <w:r>
        <w:rPr>
          <w:rtl w:val="0"/>
        </w:rPr>
        <w:t>”</w:t>
      </w:r>
      <w:r>
        <w:rPr>
          <w:rFonts w:hint="default"/>
          <w:rtl w:val="0"/>
          <w:lang w:val="en-US"/>
        </w:rPr>
        <w:t>.</w:t>
      </w:r>
      <w:r>
        <w:rPr>
          <w:vertAlign w:val="superscript"/>
        </w:rPr>
        <w:footnoteReference w:id="1"/>
      </w:r>
      <w:r>
        <w:rPr>
          <w:rtl w:val="0"/>
        </w:rPr>
        <w:t xml:space="preserve"> The federation was based on four equalities: the equality of individual citizens, federal republics, Yugoslav peoples and their role in the liberation struggle, said Aleksa Djilas.</w:t>
      </w:r>
      <w:r>
        <w:rPr>
          <w:vertAlign w:val="superscript"/>
        </w:rPr>
        <w:footnoteReference w:id="2"/>
      </w:r>
      <w:r>
        <w:rPr>
          <w:rtl w:val="0"/>
        </w:rPr>
        <w:t xml:space="preserve"> This interpretation was generally persuasive, being the basis for both the wartime movement and the post-war state. However, these principles did not lead to political equality, as the Communist Party and the federal institutions still had significant power.</w:t>
      </w:r>
    </w:p>
    <w:p w14:paraId="0000001A">
      <w:pPr>
        <w:pStyle w:val="2"/>
      </w:pPr>
      <w:bookmarkStart w:id="1" w:name="_Toc549594687"/>
      <w:r>
        <w:rPr>
          <w:rtl w:val="0"/>
        </w:rPr>
        <w:t>2. Historical Context</w:t>
      </w:r>
      <w:bookmarkEnd w:id="1"/>
    </w:p>
    <w:p w14:paraId="0000001B">
      <w:r>
        <w:rPr>
          <w:rtl w:val="0"/>
        </w:rPr>
        <w:t>The kingdom of the Serbs, Croats and Slovenes was founded on 1 December 1918, but the political organisation of the kingdom was centralised, leading to conflict over representation of the nationalities. The Vidovdan Constitution of 28 June 1921 established a unitary state, not a federation, which the non-Serbian political leaders wanted. King Alexander continued the process of centralisation after he suspended the constitution and dissolved parliament on 6 January 1929, and imposed a royal dictatorship.</w:t>
      </w:r>
      <w:r>
        <w:rPr>
          <w:vertAlign w:val="superscript"/>
        </w:rPr>
        <w:footnoteReference w:id="3"/>
      </w:r>
      <w:r>
        <w:rPr>
          <w:rtl w:val="0"/>
        </w:rPr>
        <w:t xml:space="preserve"> Following the invasion by the Axis in April 1941, Yugoslavia was subjected to occupation, collaboration, resistance and civil warfare. The Partisans, led by communists, presented this campaign as a campaign of national liberation as well as laying the basis for a new political order. Also, the second session of AVNOJ deliberately turned away from the interwar system. The federal decision declared that Yugoslavia would build on a “federal principle,” which would guarantee “full equality” for the Serbs, Croats, Slovenes, Macedonians and Montenegrins.</w:t>
      </w:r>
      <w:r>
        <w:rPr>
          <w:vertAlign w:val="superscript"/>
        </w:rPr>
        <w:footnoteReference w:id="4"/>
      </w:r>
      <w:r>
        <w:rPr>
          <w:rtl w:val="0"/>
        </w:rPr>
        <w:t xml:space="preserve"> AVNOJ also formed the National Committee for the Liberation of Yugoslavia as a provisional government-in-exile and barred the return of the government-in-exile until the people decided the fate of the monarchy.</w:t>
      </w:r>
      <w:r>
        <w:rPr>
          <w:vertAlign w:val="superscript"/>
        </w:rPr>
        <w:footnoteReference w:id="5"/>
      </w:r>
      <w:r>
        <w:rPr>
          <w:rtl w:val="0"/>
        </w:rPr>
        <w:t xml:space="preserve"> The decisions of AVNOJ, passed during the war, were then, in 1946, enshrined in the Constitution. Federalism, then, was a way to address the interwar national question and to validate the Partisans' claims to power in the post-war state.</w:t>
      </w:r>
    </w:p>
    <w:p w14:paraId="0000001C">
      <w:pPr>
        <w:pStyle w:val="2"/>
      </w:pPr>
      <w:bookmarkStart w:id="2" w:name="_Toc710738662"/>
      <w:r>
        <w:rPr>
          <w:rtl w:val="0"/>
        </w:rPr>
        <w:t>3. Equality of Individual Citizens</w:t>
      </w:r>
      <w:bookmarkEnd w:id="2"/>
    </w:p>
    <w:p w14:paraId="0000001D">
      <w:r>
        <w:rPr>
          <w:rtl w:val="0"/>
        </w:rPr>
        <w:t>The first equality was about individual citizenship. Under Article 21 of the Constitution of 1946, all citizens possessed equal rights before the law irrespective of their nationality, colour, or creed and the absence of discrimination was based on birth, social position, property or education.</w:t>
      </w:r>
      <w:r>
        <w:rPr>
          <w:vertAlign w:val="superscript"/>
        </w:rPr>
        <w:footnoteReference w:id="6"/>
      </w:r>
      <w:r>
        <w:rPr>
          <w:rtl w:val="0"/>
        </w:rPr>
        <w:t xml:space="preserve"> Article 23 granted universal and equal suffrage by secret ballot to citizens aged eighteen and above, while Article 24 gave women “equal rights with men in all fields of state, economic and social-political life.”</w:t>
      </w:r>
      <w:r>
        <w:rPr>
          <w:vertAlign w:val="superscript"/>
        </w:rPr>
        <w:footnoteReference w:id="7"/>
      </w:r>
      <w:r>
        <w:rPr>
          <w:rtl w:val="0"/>
        </w:rPr>
        <w:t xml:space="preserve"> The guarantees provided by these specific guarantees helped to establish Djilas's first equality, which is the separation of individual citizenship rights and the national community of the subjects. But in reality, constitutional equality was restricted. After the November 1945 elections, the Communist Party gained control of the political sphere, and opposition became more and more limited.</w:t>
      </w:r>
      <w:r>
        <w:rPr>
          <w:vertAlign w:val="superscript"/>
        </w:rPr>
        <w:footnoteReference w:id="8"/>
      </w:r>
      <w:r>
        <w:rPr>
          <w:rtl w:val="0"/>
        </w:rPr>
        <w:t xml:space="preserve"> In this way, the Constitution created a broad formal equality, which was contrasted by the fact that citizens' exercise of some of its political guarantees was curtailed by the new one-party system.</w:t>
      </w:r>
    </w:p>
    <w:p w14:paraId="0000001E">
      <w:pPr>
        <w:pStyle w:val="2"/>
      </w:pPr>
      <w:bookmarkStart w:id="3" w:name="_Toc1080647620"/>
      <w:r>
        <w:rPr>
          <w:rtl w:val="0"/>
        </w:rPr>
        <w:t>4. Equality of the Federal Republics</w:t>
      </w:r>
      <w:bookmarkEnd w:id="3"/>
    </w:p>
    <w:p w14:paraId="0000001F">
      <w:r>
        <w:rPr>
          <w:rtl w:val="0"/>
        </w:rPr>
        <w:t>The second equality was about the federal republics. The Constitution of 1946 provided for six republics: Serbia, Croatia, Slovenia, Bosnia and Herzegovina, Macedonia and Montenegro. It had its own constitution, its own assembly and its own governmental institutions, and Vojvodina was made an autonomous province, and Kosovo-Metohija an autonomous region, of Serbia.</w:t>
      </w:r>
      <w:r>
        <w:rPr>
          <w:vertAlign w:val="superscript"/>
        </w:rPr>
        <w:footnoteReference w:id="9"/>
      </w:r>
      <w:r>
        <w:rPr>
          <w:rtl w:val="0"/>
        </w:rPr>
        <w:t xml:space="preserve"> This was an application of the federal principle announced by AVNOJ in November 1943 and the recognition of the republics as federal (not administrative) states. However, their equality was no total independence. Defence, foreign affairs, foreign trade, monetary policy, national economic planning and federal taxation were under the control of the federal authorities.</w:t>
      </w:r>
      <w:r>
        <w:rPr>
          <w:vertAlign w:val="superscript"/>
        </w:rPr>
        <w:footnoteReference w:id="10"/>
      </w:r>
      <w:r>
        <w:rPr>
          <w:rtl w:val="0"/>
        </w:rPr>
        <w:t xml:space="preserve"> Federal law also prevailed if it contradicted the republican law. Djilas's second equality, therefore, was constitutionally evident, but it was played in a highly centralised federation with the Communist Party and federal government still holding the strong cards.</w:t>
      </w:r>
    </w:p>
    <w:p w14:paraId="00000020">
      <w:pPr>
        <w:pStyle w:val="2"/>
      </w:pPr>
      <w:bookmarkStart w:id="4" w:name="_Toc1175346661"/>
      <w:r>
        <w:rPr>
          <w:rtl w:val="0"/>
        </w:rPr>
        <w:t>5. Equality of the Yugoslav Peoples</w:t>
      </w:r>
      <w:bookmarkEnd w:id="4"/>
    </w:p>
    <w:p w14:paraId="00000021">
      <w:r>
        <w:rPr>
          <w:rtl w:val="0"/>
        </w:rPr>
        <w:t>The third equality was related to the "comprising peoples of Yugoslavia. According to the first article in the 1946 Constitution, Yugoslavia was a community of peoples endowed with equal rights to self-determination that had declared their intention to live together in a federal state.</w:t>
      </w:r>
      <w:r>
        <w:rPr>
          <w:vertAlign w:val="superscript"/>
        </w:rPr>
        <w:footnoteReference w:id="11"/>
      </w:r>
      <w:r>
        <w:rPr>
          <w:rtl w:val="0"/>
        </w:rPr>
        <w:t xml:space="preserve"> This principle was a clear opposition to the centralised Kingdom of Yugoslavia, where Serbian political supremacy caused the opposition of Croats, Slovenes and other national groups. The 1943 decision of AVNOJ also guaranteed equal rights to Serbs/Croats/Slovenes/Macedonians/and Montenegrins.</w:t>
      </w:r>
      <w:r>
        <w:rPr>
          <w:vertAlign w:val="superscript"/>
        </w:rPr>
        <w:footnoteReference w:id="12"/>
      </w:r>
      <w:r>
        <w:rPr>
          <w:rtl w:val="0"/>
        </w:rPr>
        <w:t xml:space="preserve"> Equality of republics however, did not guarantee equality of peoples. In 1946, there were significant Serb, Croat and Muslim communities in Bosnia and Herzegovina, but in 1946, the Muslims were not an officially recognised constituent nation. Other groups such as Albanians and Hungarians were categorized as national minorities instead of constituent peoples. While Article 13 promised minorities cultural development and freedom to use their languages, it was clear that the constitutional distinction between minorities and non-minorities meant that national equality was qualified.</w:t>
      </w:r>
      <w:r>
        <w:rPr>
          <w:vertAlign w:val="superscript"/>
        </w:rPr>
        <w:footnoteReference w:id="13"/>
      </w:r>
    </w:p>
    <w:p w14:paraId="00000022">
      <w:pPr>
        <w:pStyle w:val="2"/>
      </w:pPr>
      <w:bookmarkStart w:id="5" w:name="_Toc1496746321"/>
      <w:r>
        <w:rPr>
          <w:rtl w:val="0"/>
        </w:rPr>
        <w:t>6. Equality Through the Liberation Struggle</w:t>
      </w:r>
      <w:bookmarkEnd w:id="5"/>
    </w:p>
    <w:p w14:paraId="00000023">
      <w:pPr>
        <w:rPr>
          <w:b/>
          <w:bCs/>
          <w:sz w:val="28"/>
          <w:szCs w:val="28"/>
        </w:rPr>
      </w:pPr>
      <w:r>
        <w:rPr>
          <w:rtl w:val="0"/>
        </w:rPr>
        <w:t>The fourth equality Djilas had was for the role of the allegedly equal peoples of Yugoslavia in the National Liberation Struggle of 1941-1945. This principle was not just a new legal right, but also a historic one that gave rise to the new federation. In November 1943, AVNOJ in Jajce revealed the Communist-led Partisan movement as an interethnic struggle of the peoples of Yugoslavia against the Axis occupation and collaboration at home.</w:t>
      </w:r>
      <w:r>
        <w:rPr>
          <w:vertAlign w:val="superscript"/>
        </w:rPr>
        <w:footnoteReference w:id="14"/>
      </w:r>
      <w:r>
        <w:rPr>
          <w:rtl w:val="0"/>
        </w:rPr>
        <w:t xml:space="preserve"> Article 6 of the 1946 Constitution reinforced this interpretation by declaring that the people’s committees had “originated and developed” during the war against fascism and reaction.</w:t>
      </w:r>
      <w:r>
        <w:rPr>
          <w:vertAlign w:val="superscript"/>
        </w:rPr>
        <w:footnoteReference w:id="15"/>
      </w:r>
      <w:r>
        <w:rPr>
          <w:rtl w:val="0"/>
        </w:rPr>
        <w:t xml:space="preserve"> The new political institutions were thus proposed as accomplishments of "collective resistance" and "collective sacrifice. But the war service had not been uniform and equal. The occupation, collaboration, civil conflict, war and resistance were felt very differently in various regions, and resistance to the Partisans was not equally widespread between 1941 and 194–1945. The official account made these divisions easier by demonstrating that each of the recognised peoples was treated equally. Despite this, this common liberation story helped to legitimise Communist rule and the post-war concept of “brotherhood and unity”.</w:t>
      </w:r>
      <w:r>
        <w:rPr>
          <w:vertAlign w:val="superscript"/>
        </w:rPr>
        <w:footnoteReference w:id="16"/>
      </w:r>
    </w:p>
    <w:p w14:paraId="00000024">
      <w:pPr>
        <w:pStyle w:val="2"/>
      </w:pPr>
      <w:bookmarkStart w:id="6" w:name="_Toc191976089"/>
      <w:r>
        <w:rPr>
          <w:rtl w:val="0"/>
        </w:rPr>
        <w:t>7. Limits and Contradictions</w:t>
      </w:r>
      <w:bookmarkEnd w:id="6"/>
    </w:p>
    <w:p w14:paraId="00000025">
      <w:r>
        <w:rPr>
          <w:rtl w:val="0"/>
        </w:rPr>
        <w:t>The four equalities were not the same and did not provide equal political control or political rights. The Constitution ensured individual rights and equality in the republic, but also produced a very centralised federation. Defence, foreign affairs, national economic planning, finance, transport and communications were in federal control, and federal law would take precedence when it clashed with the republicans.</w:t>
      </w:r>
      <w:r>
        <w:rPr>
          <w:vertAlign w:val="superscript"/>
        </w:rPr>
        <w:footnoteReference w:id="17"/>
      </w:r>
      <w:r>
        <w:rPr>
          <w:rtl w:val="0"/>
        </w:rPr>
        <w:t xml:space="preserve"> The Communist Party also strengthened its grip on political power by dominating state institutions following 1945.</w:t>
      </w:r>
      <w:r>
        <w:rPr>
          <w:vertAlign w:val="superscript"/>
        </w:rPr>
        <w:footnoteReference w:id="18"/>
      </w:r>
      <w:r>
        <w:rPr>
          <w:rtl w:val="0"/>
        </w:rPr>
        <w:t xml:space="preserve"> Additionally, the various parts of the state's citizenry held different constitutional statuses. The Albanians and the other minorities were also accorded linguistic and cultural protection, but were not granted the status and territorial rights of the constituent peoples and republics.</w:t>
      </w:r>
      <w:r>
        <w:rPr>
          <w:vertAlign w:val="superscript"/>
        </w:rPr>
        <w:footnoteReference w:id="19"/>
      </w:r>
      <w:r>
        <w:rPr>
          <w:rtl w:val="0"/>
        </w:rPr>
        <w:t xml:space="preserve"> These paradoxes did not refute, but rather confirmed Djilas's line of thinking. The four equalities were meant to balance Yugoslav unity with the national differences which the centralised state had not been able to accommodate before the war. Federalism acknowledged different national identities, republics and wartime experiences, and maintained a strong federal state. Equality thus functioned primarily as an ideal of the constitution and as a legitimating ideal; it was not an ideal of equality of distribution of political power.</w:t>
      </w:r>
    </w:p>
    <w:p w14:paraId="00000026">
      <w:pPr>
        <w:pStyle w:val="2"/>
      </w:pPr>
      <w:bookmarkStart w:id="7" w:name="_Toc1021690029"/>
      <w:r>
        <w:rPr>
          <w:rtl w:val="0"/>
        </w:rPr>
        <w:t>Conclusion</w:t>
      </w:r>
      <w:bookmarkEnd w:id="7"/>
    </w:p>
    <w:p w14:paraId="00000027">
      <w:r>
        <w:rPr>
          <w:rtl w:val="0"/>
        </w:rPr>
        <w:t>Djilas's conception of the four equalities of the Yugoslav federal system was generally convincing. In 1943, the decisions of the AVNOJ laid the foundations of federalism and national equality as pillars of the settlement of after-war Yugoslavia, and the 1946 Constitution extended national equality to citizens and six federal republics as well as to Yugoslav peoples. The argument that every people had played a part in the struggle for liberation also endowed the new state with common history-based legitimacy. But these equalities were not fulfilled. Largely, the federal institutions had a great deal of power, and the national minorities and constituent peoples were not equally recognised in the constitution. The federation was thus based on four different types of equality: First, political equality; Second, constitutional equality; Third, economic equality; Fourth, social equality; But these were political and constitutional equalities rather than an equality in practice.</w:t>
      </w:r>
    </w:p>
    <w:p w14:paraId="00000028">
      <w:pPr>
        <w:spacing w:line="278" w:lineRule="auto"/>
        <w:jc w:val="left"/>
      </w:pPr>
      <w:r>
        <w:br w:type="page"/>
      </w:r>
    </w:p>
    <w:p w14:paraId="00000029">
      <w:pPr>
        <w:pStyle w:val="2"/>
      </w:pPr>
      <w:bookmarkStart w:id="8" w:name="_Toc265075991"/>
      <w:r>
        <w:rPr>
          <w:rtl w:val="0"/>
        </w:rPr>
        <w:t>Bibliography</w:t>
      </w:r>
      <w:bookmarkEnd w:id="8"/>
    </w:p>
    <w:p w14:paraId="0000002A">
      <w:r>
        <w:rPr>
          <w:rtl w:val="0"/>
        </w:rPr>
        <w:t>Antifascist Council of National Liberation of Yugoslavia. “Decision on Building up Yugoslavia on a Federative Principle.” November 29, 1943.</w:t>
      </w:r>
    </w:p>
    <w:p w14:paraId="0000002B">
      <w:r>
        <w:rPr>
          <w:rtl w:val="0"/>
        </w:rPr>
        <w:t xml:space="preserve">Begić, Martina Sr. Ana. “The Principle of Solidarity and Fraternity/Brotherhood in Socialist Yugoslavia in the Light of the Catholic Social Teaching.” Bogoslovska Smotra 93, no. 5 (2023): 957–978. </w:t>
      </w:r>
      <w:r>
        <w:fldChar w:fldCharType="begin"/>
      </w:r>
      <w:r>
        <w:instrText xml:space="preserve"> HYPERLINK "https://hrcak.srce.hr/en/314309" \h </w:instrText>
      </w:r>
      <w:r>
        <w:fldChar w:fldCharType="separate"/>
      </w:r>
      <w:r>
        <w:rPr>
          <w:color w:val="0563C1"/>
          <w:u w:val="single"/>
          <w:rtl w:val="0"/>
        </w:rPr>
        <w:t>https://hrcak.srce.hr/en/314309</w:t>
      </w:r>
      <w:r>
        <w:rPr>
          <w:color w:val="0563C1"/>
          <w:u w:val="single"/>
          <w:rtl w:val="0"/>
        </w:rPr>
        <w:fldChar w:fldCharType="end"/>
      </w:r>
    </w:p>
    <w:p w14:paraId="0000002C">
      <w:r>
        <w:rPr>
          <w:rtl w:val="0"/>
        </w:rPr>
        <w:t xml:space="preserve">Constitution of the Federative People’s Republic of Yugoslavia. Washington, DC: Embassy of the Federative People’s Republic of Yugoslavia, 1946. </w:t>
      </w:r>
      <w:r>
        <w:fldChar w:fldCharType="begin"/>
      </w:r>
      <w:r>
        <w:instrText xml:space="preserve"> HYPERLINK "https://stars.library.ucf.edu/prism/386/" \h </w:instrText>
      </w:r>
      <w:r>
        <w:fldChar w:fldCharType="separate"/>
      </w:r>
      <w:r>
        <w:rPr>
          <w:color w:val="0563C1"/>
          <w:u w:val="single"/>
          <w:rtl w:val="0"/>
        </w:rPr>
        <w:t>https://stars.library.ucf.edu/prism/386/</w:t>
      </w:r>
      <w:r>
        <w:rPr>
          <w:color w:val="0563C1"/>
          <w:u w:val="single"/>
          <w:rtl w:val="0"/>
        </w:rPr>
        <w:fldChar w:fldCharType="end"/>
      </w:r>
    </w:p>
    <w:p w14:paraId="0000002D">
      <w:r>
        <w:rPr>
          <w:rtl w:val="0"/>
        </w:rPr>
        <w:t xml:space="preserve">Djilas, Aleksa. The Contested Country: Yugoslav Unity and Communist Revolution, 1919–1953. Cambridge, MA: Harvard University Press, 1991. </w:t>
      </w:r>
      <w:r>
        <w:fldChar w:fldCharType="begin"/>
      </w:r>
      <w:r>
        <w:instrText xml:space="preserve"> HYPERLINK "https://books.google.com/books?id=NB_TCBY-jooC" \h </w:instrText>
      </w:r>
      <w:r>
        <w:fldChar w:fldCharType="separate"/>
      </w:r>
      <w:r>
        <w:rPr>
          <w:color w:val="800080"/>
          <w:u w:val="single"/>
          <w:rtl w:val="0"/>
        </w:rPr>
        <w:t>https://books.google.com/books?id=NB_TCBY-jooC</w:t>
      </w:r>
      <w:r>
        <w:rPr>
          <w:color w:val="800080"/>
          <w:u w:val="single"/>
          <w:rtl w:val="0"/>
        </w:rPr>
        <w:fldChar w:fldCharType="end"/>
      </w:r>
    </w:p>
    <w:p w14:paraId="0000002E">
      <w:r>
        <w:rPr>
          <w:rtl w:val="0"/>
        </w:rPr>
        <w:t xml:space="preserve">Malešević, Siniša. “Grounding Civic Nationhood: The Rise and Fall of Yugoslav Nationalism, 1918–91.” Canadian Slavonic Papers 66, nos. 1–2 (2024): 8–35. </w:t>
      </w:r>
      <w:r>
        <w:fldChar w:fldCharType="begin"/>
      </w:r>
      <w:r>
        <w:instrText xml:space="preserve"> HYPERLINK "https://www.tandfonline.com/doi/full/10.1080/00085006.2024.2357057" \h </w:instrText>
      </w:r>
      <w:r>
        <w:fldChar w:fldCharType="separate"/>
      </w:r>
      <w:r>
        <w:rPr>
          <w:color w:val="800080"/>
          <w:u w:val="single"/>
          <w:rtl w:val="0"/>
        </w:rPr>
        <w:t>https://www.tandfonline.com/doi/full/10.1080/00085006.2024.2357057</w:t>
      </w:r>
      <w:r>
        <w:rPr>
          <w:color w:val="800080"/>
          <w:u w:val="single"/>
          <w:rtl w:val="0"/>
        </w:rPr>
        <w:fldChar w:fldCharType="end"/>
      </w:r>
    </w:p>
    <w:p w14:paraId="0000002F">
      <w:r>
        <w:rPr>
          <w:rtl w:val="0"/>
        </w:rPr>
        <w:t xml:space="preserve">Robertson, James M. “Mediating Spaces: The Scales of Yugoslav Socialist Thought.” Modern Intellectual History 21, no. 3 (2024): 728–751. </w:t>
      </w:r>
      <w:r>
        <w:fldChar w:fldCharType="begin"/>
      </w:r>
      <w:r>
        <w:instrText xml:space="preserve"> HYPERLINK "https://www.cambridge.org/core/journals/modern-intellectual-history/article/mediating-spaces-the-scales-of-yugoslav-socialist-thought/8B255270E0881B63AB295F16E38359F7" \h </w:instrText>
      </w:r>
      <w:r>
        <w:fldChar w:fldCharType="separate"/>
      </w:r>
      <w:r>
        <w:rPr>
          <w:color w:val="800080"/>
          <w:u w:val="single"/>
          <w:rtl w:val="0"/>
        </w:rPr>
        <w:t>https://www.cambridge.org/core/journals/modern-intellectual-history/article/mediating-spaces-the-scales-of-yugoslav-socialist-thought/8B255270E0881B63AB295F16E38359F7</w:t>
      </w:r>
      <w:r>
        <w:rPr>
          <w:color w:val="800080"/>
          <w:u w:val="single"/>
          <w:rtl w:val="0"/>
        </w:rPr>
        <w:fldChar w:fldCharType="end"/>
      </w:r>
    </w:p>
    <w:p w14:paraId="00000030"/>
    <w:p w14:paraId="00000031">
      <w:bookmarkStart w:id="9" w:name="_g6shn0cec86m" w:colFirst="0" w:colLast="0"/>
      <w:bookmarkEnd w:id="9"/>
    </w:p>
    <w:p w14:paraId="00000032"/>
    <w:p w14:paraId="00000033"/>
    <w:sectPr>
      <w:headerReference r:id="rId5" w:type="default"/>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2CACD3FE-4923-92EE-B2F8-A46A98C57488}"/>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embedRegular r:id="rId2" w:fontKey="{C33A574C-0D4D-FF01-B2F8-A46A3320929E}"/>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0">
    <w:p>
      <w:pPr>
        <w:spacing w:before="0" w:after="0" w:line="360" w:lineRule="auto"/>
      </w:pPr>
      <w:r>
        <w:separator/>
      </w:r>
    </w:p>
  </w:footnote>
  <w:footnote w:type="continuationSeparator" w:id="41">
    <w:p>
      <w:pPr>
        <w:spacing w:before="0" w:after="0" w:line="360" w:lineRule="auto"/>
      </w:pPr>
      <w:r>
        <w:continuationSeparator/>
      </w:r>
    </w:p>
  </w:footnote>
  <w:footnote w:id="0">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Antifascist Council of National Liberation of Yugoslavia, “Decision on Building </w:t>
      </w:r>
      <w:bookmarkStart w:id="10" w:name="_GoBack"/>
      <w:bookmarkEnd w:id="10"/>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up Yugoslavia on a Federative Principle,” November 29, 1943, para. 2.</w:t>
      </w:r>
    </w:p>
  </w:footnote>
  <w:footnote w:id="1">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Federal People’s Republic of Yugoslavia (Belgrade: Official Gazette of the Federal People’s Republic of Yugoslavia, 1946), art. 1.</w:t>
      </w:r>
    </w:p>
  </w:footnote>
  <w:footnote w:id="2">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Aleksa Djilas, The Contested Country: Yugoslav Unity and Communist Revolution, 1919–1953 (Cambridge, MA: Harvard University Press, 1991), 160</w:t>
      </w:r>
    </w:p>
  </w:footnote>
  <w:footnote w:id="3">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Malešević, “Grounding Civic Nationhood,” 13–14.</w:t>
      </w:r>
    </w:p>
  </w:footnote>
  <w:footnote w:id="4">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AVNOJ, “Decision on Building up Yugoslavia,” para. 2.</w:t>
      </w:r>
    </w:p>
  </w:footnote>
  <w:footnote w:id="5">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AVNOJ, “Decisions of the Second Session,” decisions 2–3.</w:t>
      </w:r>
    </w:p>
  </w:footnote>
  <w:footnote w:id="6">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FPRY, sec. 21.</w:t>
      </w:r>
    </w:p>
  </w:footnote>
  <w:footnote w:id="7">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FPRY, sec. 24.</w:t>
      </w:r>
    </w:p>
  </w:footnote>
  <w:footnote w:id="8">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Malešević, “Grounding Civic Nationhood,” 18–19.</w:t>
      </w:r>
    </w:p>
  </w:footnote>
  <w:footnote w:id="9">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onstitution of the FPRY, sec. 2.</w:t>
      </w:r>
    </w:p>
  </w:footnote>
  <w:footnote w:id="10">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FPRY, secs. 9 and 11.</w:t>
      </w:r>
    </w:p>
  </w:footnote>
  <w:footnote w:id="11">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FPRY, sec. 1.</w:t>
      </w:r>
    </w:p>
  </w:footnote>
  <w:footnote w:id="12">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AVNOJ, “Decision on Building up Yugoslavia,” para. 2.</w:t>
      </w:r>
    </w:p>
  </w:footnote>
  <w:footnote w:id="13">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FPRY, sec. 13.</w:t>
      </w:r>
    </w:p>
  </w:footnote>
  <w:footnote w:id="14">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AVNOJ, “Decision on Building up Yugoslavia,” paras. 1–2.</w:t>
      </w:r>
    </w:p>
  </w:footnote>
  <w:footnote w:id="15">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FPRY, sec. 6.</w:t>
      </w:r>
    </w:p>
  </w:footnote>
  <w:footnote w:id="16">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Begić, “Principle of Solidarity and Fraternity/Brotherhood,” 961–62.</w:t>
      </w:r>
    </w:p>
  </w:footnote>
  <w:footnote w:id="17">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FPRY, secs. 44 and 46.</w:t>
      </w:r>
    </w:p>
  </w:footnote>
  <w:footnote w:id="18">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Robertson, “Mediating Spaces,” 734–35.</w:t>
      </w:r>
    </w:p>
  </w:footnote>
  <w:footnote w:id="19">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Constitution of the FPRY, secs. 2 and 13.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documentProtection w:enforcement="0"/>
  <w:defaultTabStop w:val="720"/>
  <w:footnotePr>
    <w:footnote w:id="40"/>
    <w:footnote w:id="41"/>
  </w:footnotePr>
  <w:endnotePr>
    <w:endnote w:id="0"/>
    <w:endnote w:id="1"/>
  </w:endnotePr>
  <w:compat>
    <w:compatSetting w:name="compatibilityMode" w:uri="http://schemas.microsoft.com/office/word" w:val="15"/>
  </w:compat>
  <w:rsids>
    <w:rsidRoot w:val="00000000"/>
    <w:rsid w:val="26FFEA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360" w:lineRule="auto"/>
      <w:jc w:val="both"/>
    </w:pPr>
    <w:rPr>
      <w:sz w:val="24"/>
      <w:szCs w:val="24"/>
      <w:lang w:val="en"/>
    </w:rPr>
  </w:style>
  <w:style w:type="paragraph" w:styleId="2">
    <w:name w:val="heading 1"/>
    <w:basedOn w:val="1"/>
    <w:next w:val="1"/>
    <w:uiPriority w:val="0"/>
    <w:rPr>
      <w:b/>
      <w:bCs/>
      <w:sz w:val="28"/>
      <w:szCs w:val="28"/>
    </w:rPr>
  </w:style>
  <w:style w:type="paragraph" w:styleId="3">
    <w:name w:val="heading 2"/>
    <w:basedOn w:val="1"/>
    <w:next w:val="1"/>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uiPriority w:val="0"/>
    <w:pPr>
      <w:keepNext/>
      <w:keepLines/>
      <w:spacing w:before="160" w:after="80"/>
    </w:pPr>
    <w:rPr>
      <w:color w:val="2F5496"/>
      <w:sz w:val="28"/>
      <w:szCs w:val="28"/>
    </w:rPr>
  </w:style>
  <w:style w:type="paragraph" w:styleId="5">
    <w:name w:val="heading 4"/>
    <w:basedOn w:val="1"/>
    <w:next w:val="1"/>
    <w:uiPriority w:val="0"/>
    <w:pPr>
      <w:keepNext/>
      <w:keepLines/>
      <w:spacing w:before="80" w:after="40"/>
    </w:pPr>
    <w:rPr>
      <w:i/>
      <w:iCs/>
      <w:color w:val="2F5496"/>
    </w:rPr>
  </w:style>
  <w:style w:type="paragraph" w:styleId="6">
    <w:name w:val="heading 5"/>
    <w:basedOn w:val="1"/>
    <w:next w:val="1"/>
    <w:uiPriority w:val="0"/>
    <w:pPr>
      <w:keepNext/>
      <w:keepLines/>
      <w:spacing w:before="80" w:after="40"/>
    </w:pPr>
    <w:rPr>
      <w:color w:val="2F5496"/>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rPr>
      <w:color w:val="595959"/>
      <w:sz w:val="28"/>
      <w:szCs w:val="28"/>
    </w:rPr>
  </w:style>
  <w:style w:type="paragraph" w:styleId="11">
    <w:name w:val="Title"/>
    <w:basedOn w:val="1"/>
    <w:next w:val="1"/>
    <w:uiPriority w:val="0"/>
    <w:pPr>
      <w:spacing w:after="80" w:line="240" w:lineRule="auto"/>
    </w:pPr>
    <w:rPr>
      <w:rFonts w:ascii="Calibri" w:hAnsi="Calibri" w:eastAsia="Calibri" w:cs="Calibri"/>
      <w:sz w:val="56"/>
      <w:szCs w:val="56"/>
    </w:rPr>
  </w:style>
  <w:style w:type="paragraph" w:styleId="12">
    <w:name w:val="toc 1"/>
    <w:basedOn w:val="1"/>
    <w:next w:val="1"/>
    <w:uiPriority w:val="0"/>
  </w:style>
  <w:style w:type="table" w:customStyle="1" w:styleId="1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TotalTime>5</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2026-09-12T12:25:16Z</dcterms:created>
  <dc:creator>Data</dc:creator>
  <cp:lastModifiedBy>Deepak Paliwal</cp:lastModifiedBy>
  <dcterms:modified xsi:type="dcterms:W3CDTF">2026-09-12T12:31:06Z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fc8d98b8-e146-43bc-a944-38ca62da29f0</vt:lpwstr>
  </property>
  <property fmtid="{D5CDD505-2E9C-101B-9397-08002B2CF9AE}" pid="3" name="KSOProductBuildVer">
    <vt:lpwstr>1033-12.1.23155.23155</vt:lpwstr>
  </property>
  <property fmtid="{D5CDD505-2E9C-101B-9397-08002B2CF9AE}" pid="4" name="ICV">
    <vt:lpwstr>744DE46E9F79392386EFA46A6B853DC0_42</vt:lpwstr>
  </property>
</Properties>
</file>