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6DB1" w:rsidRDefault="00DE6DB1">
      <w:pPr>
        <w:pStyle w:val="Title"/>
        <w:jc w:val="center"/>
      </w:pPr>
      <w:bookmarkStart w:id="0" w:name="_2y60zle9e5p2" w:colFirst="0" w:colLast="0"/>
      <w:bookmarkEnd w:id="0"/>
    </w:p>
    <w:p w14:paraId="00000002" w14:textId="77777777" w:rsidR="00DE6DB1" w:rsidRDefault="00DE6DB1">
      <w:pPr>
        <w:pStyle w:val="Title"/>
        <w:jc w:val="center"/>
      </w:pPr>
      <w:bookmarkStart w:id="1" w:name="_p22p7cvrcedo" w:colFirst="0" w:colLast="0"/>
      <w:bookmarkEnd w:id="1"/>
    </w:p>
    <w:p w14:paraId="00000003" w14:textId="77777777" w:rsidR="00DE6DB1" w:rsidRDefault="00DE6DB1">
      <w:pPr>
        <w:pStyle w:val="Title"/>
        <w:jc w:val="center"/>
      </w:pPr>
      <w:bookmarkStart w:id="2" w:name="_el1ugqmwxtcy" w:colFirst="0" w:colLast="0"/>
      <w:bookmarkEnd w:id="2"/>
    </w:p>
    <w:p w14:paraId="00000004" w14:textId="77777777" w:rsidR="00DE6DB1" w:rsidRDefault="00DE6DB1">
      <w:pPr>
        <w:pStyle w:val="Title"/>
        <w:jc w:val="center"/>
      </w:pPr>
      <w:bookmarkStart w:id="3" w:name="_ittn2l77gfaj" w:colFirst="0" w:colLast="0"/>
      <w:bookmarkEnd w:id="3"/>
    </w:p>
    <w:p w14:paraId="00000005" w14:textId="77777777" w:rsidR="00DE6DB1" w:rsidRDefault="00DE6DB1">
      <w:pPr>
        <w:pStyle w:val="Title"/>
        <w:jc w:val="center"/>
      </w:pPr>
      <w:bookmarkStart w:id="4" w:name="_wmt15fmt6wxj" w:colFirst="0" w:colLast="0"/>
      <w:bookmarkEnd w:id="4"/>
    </w:p>
    <w:p w14:paraId="00000006" w14:textId="77777777" w:rsidR="00DE6DB1" w:rsidRDefault="00DE6DB1">
      <w:pPr>
        <w:pStyle w:val="Title"/>
        <w:jc w:val="center"/>
      </w:pPr>
      <w:bookmarkStart w:id="5" w:name="_j80viel886z0" w:colFirst="0" w:colLast="0"/>
      <w:bookmarkEnd w:id="5"/>
    </w:p>
    <w:p w14:paraId="00000007" w14:textId="77777777" w:rsidR="00DE6DB1" w:rsidRDefault="00DE6DB1">
      <w:pPr>
        <w:pStyle w:val="Title"/>
        <w:jc w:val="center"/>
      </w:pPr>
      <w:bookmarkStart w:id="6" w:name="_7yfonqj5gp52" w:colFirst="0" w:colLast="0"/>
      <w:bookmarkEnd w:id="6"/>
    </w:p>
    <w:p w14:paraId="00000008" w14:textId="77777777" w:rsidR="00DE6DB1" w:rsidRDefault="00DE6DB1">
      <w:pPr>
        <w:pStyle w:val="Title"/>
        <w:jc w:val="center"/>
      </w:pPr>
      <w:bookmarkStart w:id="7" w:name="_marjfb75uqrs" w:colFirst="0" w:colLast="0"/>
      <w:bookmarkEnd w:id="7"/>
    </w:p>
    <w:p w14:paraId="00000009" w14:textId="77777777" w:rsidR="00DE6DB1" w:rsidRDefault="00DE6DB1">
      <w:pPr>
        <w:pStyle w:val="Title"/>
        <w:jc w:val="center"/>
      </w:pPr>
      <w:bookmarkStart w:id="8" w:name="_9mddwkxzjl2f" w:colFirst="0" w:colLast="0"/>
      <w:bookmarkEnd w:id="8"/>
    </w:p>
    <w:p w14:paraId="0000000A" w14:textId="77777777" w:rsidR="00DE6DB1" w:rsidRDefault="00000000">
      <w:pPr>
        <w:pStyle w:val="Title"/>
        <w:jc w:val="center"/>
      </w:pPr>
      <w:bookmarkStart w:id="9" w:name="_ectxl6tts6rh" w:colFirst="0" w:colLast="0"/>
      <w:bookmarkEnd w:id="9"/>
      <w:r>
        <w:t xml:space="preserve">THE “STALIN EPIGRAM”: POLITICAL DEFIANCE OR AN ACT OF SUICIDE? </w:t>
      </w:r>
      <w:r>
        <w:br w:type="page"/>
      </w:r>
    </w:p>
    <w:bookmarkStart w:id="10" w:name="_whbeorh3ltq1" w:colFirst="0" w:colLast="0" w:displacedByCustomXml="next"/>
    <w:bookmarkEnd w:id="10" w:displacedByCustomXml="next"/>
    <w:sdt>
      <w:sdtPr>
        <w:id w:val="1192117728"/>
        <w:docPartObj>
          <w:docPartGallery w:val="Table of Contents"/>
          <w:docPartUnique/>
        </w:docPartObj>
      </w:sdtPr>
      <w:sdtEndPr>
        <w:rPr>
          <w:rFonts w:ascii="Times New Roman" w:eastAsia="Times New Roman" w:hAnsi="Times New Roman" w:cs="Times New Roman"/>
          <w:b/>
          <w:bCs/>
          <w:noProof/>
          <w:color w:val="auto"/>
          <w:sz w:val="24"/>
          <w:szCs w:val="24"/>
          <w:lang w:val="en-GB" w:eastAsia="en-IN"/>
        </w:rPr>
      </w:sdtEndPr>
      <w:sdtContent>
        <w:p w14:paraId="6EEB1507" w14:textId="09F8A967" w:rsidR="003114E8" w:rsidRPr="003114E8" w:rsidRDefault="003114E8" w:rsidP="003114E8">
          <w:pPr>
            <w:pStyle w:val="TOCHeading"/>
            <w:spacing w:line="360" w:lineRule="auto"/>
            <w:jc w:val="center"/>
            <w:rPr>
              <w:rFonts w:ascii="Times New Roman" w:hAnsi="Times New Roman" w:cs="Times New Roman"/>
              <w:b/>
              <w:bCs/>
              <w:sz w:val="28"/>
              <w:szCs w:val="28"/>
            </w:rPr>
          </w:pPr>
          <w:r w:rsidRPr="003114E8">
            <w:rPr>
              <w:rFonts w:ascii="Times New Roman" w:hAnsi="Times New Roman" w:cs="Times New Roman"/>
              <w:b/>
              <w:bCs/>
              <w:sz w:val="28"/>
              <w:szCs w:val="28"/>
            </w:rPr>
            <w:t>Table of Contents</w:t>
          </w:r>
        </w:p>
        <w:p w14:paraId="59C705C9" w14:textId="735E4417" w:rsidR="003114E8" w:rsidRDefault="003114E8" w:rsidP="003114E8">
          <w:pPr>
            <w:pStyle w:val="TOC1"/>
            <w:tabs>
              <w:tab w:val="right" w:leader="dot" w:pos="9350"/>
            </w:tabs>
            <w:rPr>
              <w:noProof/>
            </w:rPr>
          </w:pPr>
          <w:r>
            <w:fldChar w:fldCharType="begin"/>
          </w:r>
          <w:r>
            <w:instrText xml:space="preserve"> TOC \o "1-3" \h \z \u </w:instrText>
          </w:r>
          <w:r>
            <w:fldChar w:fldCharType="separate"/>
          </w:r>
          <w:hyperlink w:anchor="_Toc240125347" w:history="1">
            <w:r w:rsidRPr="001B73E5">
              <w:rPr>
                <w:rStyle w:val="Hyperlink"/>
                <w:noProof/>
              </w:rPr>
              <w:t>1. Introduction</w:t>
            </w:r>
            <w:r>
              <w:rPr>
                <w:noProof/>
                <w:webHidden/>
              </w:rPr>
              <w:tab/>
            </w:r>
            <w:r>
              <w:rPr>
                <w:noProof/>
                <w:webHidden/>
              </w:rPr>
              <w:fldChar w:fldCharType="begin"/>
            </w:r>
            <w:r>
              <w:rPr>
                <w:noProof/>
                <w:webHidden/>
              </w:rPr>
              <w:instrText xml:space="preserve"> PAGEREF _Toc240125347 \h </w:instrText>
            </w:r>
            <w:r>
              <w:rPr>
                <w:noProof/>
                <w:webHidden/>
              </w:rPr>
            </w:r>
            <w:r>
              <w:rPr>
                <w:noProof/>
                <w:webHidden/>
              </w:rPr>
              <w:fldChar w:fldCharType="separate"/>
            </w:r>
            <w:r w:rsidR="00276959">
              <w:rPr>
                <w:noProof/>
                <w:webHidden/>
              </w:rPr>
              <w:t>3</w:t>
            </w:r>
            <w:r>
              <w:rPr>
                <w:noProof/>
                <w:webHidden/>
              </w:rPr>
              <w:fldChar w:fldCharType="end"/>
            </w:r>
          </w:hyperlink>
        </w:p>
        <w:p w14:paraId="4335C67D" w14:textId="476D8E15" w:rsidR="003114E8" w:rsidRDefault="003114E8" w:rsidP="003114E8">
          <w:pPr>
            <w:pStyle w:val="TOC1"/>
            <w:tabs>
              <w:tab w:val="right" w:leader="dot" w:pos="9350"/>
            </w:tabs>
            <w:rPr>
              <w:noProof/>
            </w:rPr>
          </w:pPr>
          <w:hyperlink w:anchor="_Toc240125348" w:history="1">
            <w:r w:rsidRPr="001B73E5">
              <w:rPr>
                <w:rStyle w:val="Hyperlink"/>
                <w:noProof/>
              </w:rPr>
              <w:t>2. Stalinism and the Position of the Writer</w:t>
            </w:r>
            <w:r>
              <w:rPr>
                <w:noProof/>
                <w:webHidden/>
              </w:rPr>
              <w:tab/>
            </w:r>
            <w:r>
              <w:rPr>
                <w:noProof/>
                <w:webHidden/>
              </w:rPr>
              <w:fldChar w:fldCharType="begin"/>
            </w:r>
            <w:r>
              <w:rPr>
                <w:noProof/>
                <w:webHidden/>
              </w:rPr>
              <w:instrText xml:space="preserve"> PAGEREF _Toc240125348 \h </w:instrText>
            </w:r>
            <w:r>
              <w:rPr>
                <w:noProof/>
                <w:webHidden/>
              </w:rPr>
            </w:r>
            <w:r>
              <w:rPr>
                <w:noProof/>
                <w:webHidden/>
              </w:rPr>
              <w:fldChar w:fldCharType="separate"/>
            </w:r>
            <w:r w:rsidR="00276959">
              <w:rPr>
                <w:noProof/>
                <w:webHidden/>
              </w:rPr>
              <w:t>3</w:t>
            </w:r>
            <w:r>
              <w:rPr>
                <w:noProof/>
                <w:webHidden/>
              </w:rPr>
              <w:fldChar w:fldCharType="end"/>
            </w:r>
          </w:hyperlink>
        </w:p>
        <w:p w14:paraId="010C746B" w14:textId="385B2881" w:rsidR="003114E8" w:rsidRDefault="003114E8" w:rsidP="003114E8">
          <w:pPr>
            <w:pStyle w:val="TOC1"/>
            <w:tabs>
              <w:tab w:val="right" w:leader="dot" w:pos="9350"/>
            </w:tabs>
            <w:rPr>
              <w:noProof/>
            </w:rPr>
          </w:pPr>
          <w:hyperlink w:anchor="_Toc240125349" w:history="1">
            <w:r w:rsidRPr="001B73E5">
              <w:rPr>
                <w:rStyle w:val="Hyperlink"/>
                <w:noProof/>
              </w:rPr>
              <w:t>3. The Stalin Epigram as an Act of Defiance</w:t>
            </w:r>
            <w:r>
              <w:rPr>
                <w:noProof/>
                <w:webHidden/>
              </w:rPr>
              <w:tab/>
            </w:r>
            <w:r>
              <w:rPr>
                <w:noProof/>
                <w:webHidden/>
              </w:rPr>
              <w:fldChar w:fldCharType="begin"/>
            </w:r>
            <w:r>
              <w:rPr>
                <w:noProof/>
                <w:webHidden/>
              </w:rPr>
              <w:instrText xml:space="preserve"> PAGEREF _Toc240125349 \h </w:instrText>
            </w:r>
            <w:r>
              <w:rPr>
                <w:noProof/>
                <w:webHidden/>
              </w:rPr>
            </w:r>
            <w:r>
              <w:rPr>
                <w:noProof/>
                <w:webHidden/>
              </w:rPr>
              <w:fldChar w:fldCharType="separate"/>
            </w:r>
            <w:r w:rsidR="00276959">
              <w:rPr>
                <w:noProof/>
                <w:webHidden/>
              </w:rPr>
              <w:t>4</w:t>
            </w:r>
            <w:r>
              <w:rPr>
                <w:noProof/>
                <w:webHidden/>
              </w:rPr>
              <w:fldChar w:fldCharType="end"/>
            </w:r>
          </w:hyperlink>
        </w:p>
        <w:p w14:paraId="55DAD987" w14:textId="1D8B0E50" w:rsidR="003114E8" w:rsidRDefault="003114E8" w:rsidP="003114E8">
          <w:pPr>
            <w:pStyle w:val="TOC1"/>
            <w:tabs>
              <w:tab w:val="right" w:leader="dot" w:pos="9350"/>
            </w:tabs>
            <w:rPr>
              <w:noProof/>
            </w:rPr>
          </w:pPr>
          <w:hyperlink w:anchor="_Toc240125350" w:history="1">
            <w:r w:rsidRPr="001B73E5">
              <w:rPr>
                <w:rStyle w:val="Hyperlink"/>
                <w:noProof/>
              </w:rPr>
              <w:t>4. Mandel’shtam’s Awareness of Political Risk</w:t>
            </w:r>
            <w:r>
              <w:rPr>
                <w:noProof/>
                <w:webHidden/>
              </w:rPr>
              <w:tab/>
            </w:r>
            <w:r>
              <w:rPr>
                <w:noProof/>
                <w:webHidden/>
              </w:rPr>
              <w:fldChar w:fldCharType="begin"/>
            </w:r>
            <w:r>
              <w:rPr>
                <w:noProof/>
                <w:webHidden/>
              </w:rPr>
              <w:instrText xml:space="preserve"> PAGEREF _Toc240125350 \h </w:instrText>
            </w:r>
            <w:r>
              <w:rPr>
                <w:noProof/>
                <w:webHidden/>
              </w:rPr>
            </w:r>
            <w:r>
              <w:rPr>
                <w:noProof/>
                <w:webHidden/>
              </w:rPr>
              <w:fldChar w:fldCharType="separate"/>
            </w:r>
            <w:r w:rsidR="00276959">
              <w:rPr>
                <w:noProof/>
                <w:webHidden/>
              </w:rPr>
              <w:t>5</w:t>
            </w:r>
            <w:r>
              <w:rPr>
                <w:noProof/>
                <w:webHidden/>
              </w:rPr>
              <w:fldChar w:fldCharType="end"/>
            </w:r>
          </w:hyperlink>
        </w:p>
        <w:p w14:paraId="47D7F3C6" w14:textId="6A5032B7" w:rsidR="003114E8" w:rsidRDefault="003114E8" w:rsidP="003114E8">
          <w:pPr>
            <w:pStyle w:val="TOC1"/>
            <w:tabs>
              <w:tab w:val="right" w:leader="dot" w:pos="9350"/>
            </w:tabs>
            <w:rPr>
              <w:noProof/>
            </w:rPr>
          </w:pPr>
          <w:hyperlink w:anchor="_Toc240125351" w:history="1">
            <w:r w:rsidRPr="001B73E5">
              <w:rPr>
                <w:rStyle w:val="Hyperlink"/>
                <w:noProof/>
              </w:rPr>
              <w:t>5. The Case for the “Act of Suicide” Interpretation</w:t>
            </w:r>
            <w:r>
              <w:rPr>
                <w:noProof/>
                <w:webHidden/>
              </w:rPr>
              <w:tab/>
            </w:r>
            <w:r>
              <w:rPr>
                <w:noProof/>
                <w:webHidden/>
              </w:rPr>
              <w:fldChar w:fldCharType="begin"/>
            </w:r>
            <w:r>
              <w:rPr>
                <w:noProof/>
                <w:webHidden/>
              </w:rPr>
              <w:instrText xml:space="preserve"> PAGEREF _Toc240125351 \h </w:instrText>
            </w:r>
            <w:r>
              <w:rPr>
                <w:noProof/>
                <w:webHidden/>
              </w:rPr>
            </w:r>
            <w:r>
              <w:rPr>
                <w:noProof/>
                <w:webHidden/>
              </w:rPr>
              <w:fldChar w:fldCharType="separate"/>
            </w:r>
            <w:r w:rsidR="00276959">
              <w:rPr>
                <w:noProof/>
                <w:webHidden/>
              </w:rPr>
              <w:t>5</w:t>
            </w:r>
            <w:r>
              <w:rPr>
                <w:noProof/>
                <w:webHidden/>
              </w:rPr>
              <w:fldChar w:fldCharType="end"/>
            </w:r>
          </w:hyperlink>
        </w:p>
        <w:p w14:paraId="42AFCF2B" w14:textId="75270496" w:rsidR="003114E8" w:rsidRDefault="003114E8" w:rsidP="003114E8">
          <w:pPr>
            <w:pStyle w:val="TOC1"/>
            <w:tabs>
              <w:tab w:val="right" w:leader="dot" w:pos="9350"/>
            </w:tabs>
            <w:rPr>
              <w:noProof/>
            </w:rPr>
          </w:pPr>
          <w:hyperlink w:anchor="_Toc240125352" w:history="1">
            <w:r w:rsidRPr="001B73E5">
              <w:rPr>
                <w:rStyle w:val="Hyperlink"/>
                <w:noProof/>
              </w:rPr>
              <w:t>6. The Limits of the “Suicide” Interpretation</w:t>
            </w:r>
            <w:r>
              <w:rPr>
                <w:noProof/>
                <w:webHidden/>
              </w:rPr>
              <w:tab/>
            </w:r>
            <w:r>
              <w:rPr>
                <w:noProof/>
                <w:webHidden/>
              </w:rPr>
              <w:fldChar w:fldCharType="begin"/>
            </w:r>
            <w:r>
              <w:rPr>
                <w:noProof/>
                <w:webHidden/>
              </w:rPr>
              <w:instrText xml:space="preserve"> PAGEREF _Toc240125352 \h </w:instrText>
            </w:r>
            <w:r>
              <w:rPr>
                <w:noProof/>
                <w:webHidden/>
              </w:rPr>
            </w:r>
            <w:r>
              <w:rPr>
                <w:noProof/>
                <w:webHidden/>
              </w:rPr>
              <w:fldChar w:fldCharType="separate"/>
            </w:r>
            <w:r w:rsidR="00276959">
              <w:rPr>
                <w:noProof/>
                <w:webHidden/>
              </w:rPr>
              <w:t>6</w:t>
            </w:r>
            <w:r>
              <w:rPr>
                <w:noProof/>
                <w:webHidden/>
              </w:rPr>
              <w:fldChar w:fldCharType="end"/>
            </w:r>
          </w:hyperlink>
        </w:p>
        <w:p w14:paraId="6DAB6F19" w14:textId="016F2C66" w:rsidR="003114E8" w:rsidRDefault="003114E8" w:rsidP="003114E8">
          <w:pPr>
            <w:pStyle w:val="TOC1"/>
            <w:tabs>
              <w:tab w:val="right" w:leader="dot" w:pos="9350"/>
            </w:tabs>
            <w:rPr>
              <w:noProof/>
            </w:rPr>
          </w:pPr>
          <w:hyperlink w:anchor="_Toc240125353" w:history="1">
            <w:r w:rsidRPr="001B73E5">
              <w:rPr>
                <w:rStyle w:val="Hyperlink"/>
                <w:noProof/>
              </w:rPr>
              <w:t>7. Memory, Martyrdom, and Later Interpretation</w:t>
            </w:r>
            <w:r>
              <w:rPr>
                <w:noProof/>
                <w:webHidden/>
              </w:rPr>
              <w:tab/>
            </w:r>
            <w:r>
              <w:rPr>
                <w:noProof/>
                <w:webHidden/>
              </w:rPr>
              <w:fldChar w:fldCharType="begin"/>
            </w:r>
            <w:r>
              <w:rPr>
                <w:noProof/>
                <w:webHidden/>
              </w:rPr>
              <w:instrText xml:space="preserve"> PAGEREF _Toc240125353 \h </w:instrText>
            </w:r>
            <w:r>
              <w:rPr>
                <w:noProof/>
                <w:webHidden/>
              </w:rPr>
            </w:r>
            <w:r>
              <w:rPr>
                <w:noProof/>
                <w:webHidden/>
              </w:rPr>
              <w:fldChar w:fldCharType="separate"/>
            </w:r>
            <w:r w:rsidR="00276959">
              <w:rPr>
                <w:noProof/>
                <w:webHidden/>
              </w:rPr>
              <w:t>6</w:t>
            </w:r>
            <w:r>
              <w:rPr>
                <w:noProof/>
                <w:webHidden/>
              </w:rPr>
              <w:fldChar w:fldCharType="end"/>
            </w:r>
          </w:hyperlink>
        </w:p>
        <w:p w14:paraId="64D2010D" w14:textId="20AAAB6A" w:rsidR="003114E8" w:rsidRDefault="003114E8" w:rsidP="003114E8">
          <w:pPr>
            <w:pStyle w:val="TOC1"/>
            <w:tabs>
              <w:tab w:val="right" w:leader="dot" w:pos="9350"/>
            </w:tabs>
            <w:rPr>
              <w:noProof/>
            </w:rPr>
          </w:pPr>
          <w:hyperlink w:anchor="_Toc240125354" w:history="1">
            <w:r w:rsidRPr="001B73E5">
              <w:rPr>
                <w:rStyle w:val="Hyperlink"/>
                <w:noProof/>
              </w:rPr>
              <w:t>8. Conclusion</w:t>
            </w:r>
            <w:r>
              <w:rPr>
                <w:noProof/>
                <w:webHidden/>
              </w:rPr>
              <w:tab/>
            </w:r>
            <w:r>
              <w:rPr>
                <w:noProof/>
                <w:webHidden/>
              </w:rPr>
              <w:fldChar w:fldCharType="begin"/>
            </w:r>
            <w:r>
              <w:rPr>
                <w:noProof/>
                <w:webHidden/>
              </w:rPr>
              <w:instrText xml:space="preserve"> PAGEREF _Toc240125354 \h </w:instrText>
            </w:r>
            <w:r>
              <w:rPr>
                <w:noProof/>
                <w:webHidden/>
              </w:rPr>
            </w:r>
            <w:r>
              <w:rPr>
                <w:noProof/>
                <w:webHidden/>
              </w:rPr>
              <w:fldChar w:fldCharType="separate"/>
            </w:r>
            <w:r w:rsidR="00276959">
              <w:rPr>
                <w:noProof/>
                <w:webHidden/>
              </w:rPr>
              <w:t>7</w:t>
            </w:r>
            <w:r>
              <w:rPr>
                <w:noProof/>
                <w:webHidden/>
              </w:rPr>
              <w:fldChar w:fldCharType="end"/>
            </w:r>
          </w:hyperlink>
        </w:p>
        <w:p w14:paraId="677F2A02" w14:textId="6EC53FB6" w:rsidR="003114E8" w:rsidRDefault="003114E8" w:rsidP="003114E8">
          <w:pPr>
            <w:pStyle w:val="TOC1"/>
            <w:tabs>
              <w:tab w:val="right" w:leader="dot" w:pos="9350"/>
            </w:tabs>
            <w:rPr>
              <w:noProof/>
            </w:rPr>
          </w:pPr>
          <w:hyperlink w:anchor="_Toc240125355" w:history="1">
            <w:r w:rsidRPr="001B73E5">
              <w:rPr>
                <w:rStyle w:val="Hyperlink"/>
                <w:noProof/>
              </w:rPr>
              <w:t>Bibliography</w:t>
            </w:r>
            <w:r>
              <w:rPr>
                <w:noProof/>
                <w:webHidden/>
              </w:rPr>
              <w:tab/>
            </w:r>
            <w:r>
              <w:rPr>
                <w:noProof/>
                <w:webHidden/>
              </w:rPr>
              <w:fldChar w:fldCharType="begin"/>
            </w:r>
            <w:r>
              <w:rPr>
                <w:noProof/>
                <w:webHidden/>
              </w:rPr>
              <w:instrText xml:space="preserve"> PAGEREF _Toc240125355 \h </w:instrText>
            </w:r>
            <w:r>
              <w:rPr>
                <w:noProof/>
                <w:webHidden/>
              </w:rPr>
            </w:r>
            <w:r>
              <w:rPr>
                <w:noProof/>
                <w:webHidden/>
              </w:rPr>
              <w:fldChar w:fldCharType="separate"/>
            </w:r>
            <w:r w:rsidR="00276959">
              <w:rPr>
                <w:noProof/>
                <w:webHidden/>
              </w:rPr>
              <w:t>8</w:t>
            </w:r>
            <w:r>
              <w:rPr>
                <w:noProof/>
                <w:webHidden/>
              </w:rPr>
              <w:fldChar w:fldCharType="end"/>
            </w:r>
          </w:hyperlink>
        </w:p>
        <w:p w14:paraId="4B929073" w14:textId="1E06E7D5" w:rsidR="003114E8" w:rsidRDefault="003114E8" w:rsidP="003114E8">
          <w:r>
            <w:rPr>
              <w:b/>
              <w:bCs/>
              <w:noProof/>
            </w:rPr>
            <w:fldChar w:fldCharType="end"/>
          </w:r>
        </w:p>
      </w:sdtContent>
    </w:sdt>
    <w:p w14:paraId="34977CF5" w14:textId="77777777" w:rsidR="003114E8" w:rsidRDefault="003114E8">
      <w:pPr>
        <w:rPr>
          <w:b/>
          <w:bCs/>
          <w:sz w:val="28"/>
          <w:szCs w:val="28"/>
        </w:rPr>
      </w:pPr>
      <w:r>
        <w:br w:type="page"/>
      </w:r>
    </w:p>
    <w:p w14:paraId="0000000B" w14:textId="61E54BBD" w:rsidR="00DE6DB1" w:rsidRDefault="00000000">
      <w:pPr>
        <w:pStyle w:val="Heading1"/>
      </w:pPr>
      <w:bookmarkStart w:id="11" w:name="_Toc240125347"/>
      <w:r>
        <w:lastRenderedPageBreak/>
        <w:t>1. Introduction</w:t>
      </w:r>
      <w:bookmarkEnd w:id="11"/>
    </w:p>
    <w:p w14:paraId="0000000C" w14:textId="30F48C1B" w:rsidR="00DE6DB1" w:rsidRDefault="00000000">
      <w:pPr>
        <w:rPr>
          <w:color w:val="CC0000"/>
        </w:rPr>
      </w:pPr>
      <w:bookmarkStart w:id="12" w:name="_spd568360um6" w:colFirst="0" w:colLast="0"/>
      <w:bookmarkEnd w:id="12"/>
      <w:r>
        <w:rPr>
          <w:color w:val="CC0000"/>
          <w:highlight w:val="white"/>
        </w:rPr>
        <w:t>Written in 1933, Osip Mandelstam's “Stalin Epigram” was a direct and highly hazardous attack against Joseph Stalin, which was written during a time of proliferating political repression in the Soviet Union. The poem wasn't officially published, but it was read to a small, private group of people. Like much criticism of this kind, it was fraught with danger, as Mandelstam was arrested in 1934 and then exiled to the interior of the country. Mandelstam didn't necessarily have an intention to annihilate himself by accepting political risk. It is more important to see the poem as an expression of political and artistic resistance to censorship and state control.</w:t>
      </w:r>
      <w:r w:rsidR="003D2BBA">
        <w:rPr>
          <w:rStyle w:val="FootnoteReference"/>
          <w:color w:val="CC0000"/>
          <w:highlight w:val="white"/>
        </w:rPr>
        <w:footnoteReference w:id="1"/>
      </w:r>
      <w:r>
        <w:rPr>
          <w:color w:val="CC0000"/>
          <w:highlight w:val="white"/>
        </w:rPr>
        <w:t xml:space="preserve"> The “Stalin Epigram” was a conscious act of resistance and risk-taking rather than of self-destruction, this essay states</w:t>
      </w:r>
      <w:r>
        <w:rPr>
          <w:color w:val="CC0000"/>
        </w:rPr>
        <w:t>.</w:t>
      </w:r>
    </w:p>
    <w:p w14:paraId="0000000D" w14:textId="77777777" w:rsidR="00DE6DB1" w:rsidRDefault="00000000">
      <w:pPr>
        <w:pStyle w:val="Heading1"/>
        <w:rPr>
          <w:b w:val="0"/>
          <w:bCs w:val="0"/>
          <w:sz w:val="24"/>
          <w:szCs w:val="24"/>
        </w:rPr>
      </w:pPr>
      <w:bookmarkStart w:id="13" w:name="_Toc240125348"/>
      <w:r>
        <w:t>2. Stalinism and the Position of the Writer</w:t>
      </w:r>
      <w:bookmarkEnd w:id="13"/>
    </w:p>
    <w:p w14:paraId="0000000E" w14:textId="6EF99856" w:rsidR="00DE6DB1" w:rsidRDefault="00000000">
      <w:pPr>
        <w:rPr>
          <w:b/>
          <w:bCs/>
          <w:color w:val="CC0000"/>
        </w:rPr>
      </w:pPr>
      <w:bookmarkStart w:id="14" w:name="_h4721tfo7v54" w:colFirst="0" w:colLast="0"/>
      <w:bookmarkEnd w:id="14"/>
      <w:r>
        <w:rPr>
          <w:color w:val="CC0000"/>
          <w:highlight w:val="white"/>
        </w:rPr>
        <w:t>Throughout the early 1930s, Soviet literary life was increasingly under political control. In 1932, the Communist Party reorganized literary associations, giving more state control to writers and publications. Hence, Socialist Realism was the literary method that was developed and adopted officially, and writers were expected to portray Soviet society in a manner consistent with the socialist dogma. Increased censorship and control of publishing in turn decreased the opportunity for independent criticism.</w:t>
      </w:r>
      <w:r w:rsidR="003D2BBA">
        <w:rPr>
          <w:rStyle w:val="FootnoteReference"/>
          <w:color w:val="CC0000"/>
          <w:highlight w:val="white"/>
        </w:rPr>
        <w:footnoteReference w:id="2"/>
      </w:r>
      <w:r>
        <w:rPr>
          <w:color w:val="CC0000"/>
          <w:highlight w:val="white"/>
        </w:rPr>
        <w:t xml:space="preserve"> Disagreements with official expectations may thus have relevant repercussions on writers' careers and personal lives. Political acceptability became more and more crucial to publication, employment, and membership in official literary institutions. As an independent sinister Mandelstam found himself in a unique situation since his poems could not bow to state demands. It was very daring in this context for the “Stalin Epigram” to take the form it did.</w:t>
      </w:r>
      <w:r w:rsidR="003D2BBA">
        <w:rPr>
          <w:rStyle w:val="FootnoteReference"/>
          <w:color w:val="CC0000"/>
          <w:highlight w:val="white"/>
        </w:rPr>
        <w:footnoteReference w:id="3"/>
      </w:r>
      <w:r>
        <w:rPr>
          <w:color w:val="CC0000"/>
          <w:highlight w:val="white"/>
        </w:rPr>
        <w:t xml:space="preserve"> Its direct criticism of Stalin threatened an individual ruler and the entire culture of which literature had been part, and was now inculcated by the political apparatus. It is imperative that the poem be read in the context of literary opposition being seen as potentially politically disloyal</w:t>
      </w:r>
      <w:r>
        <w:rPr>
          <w:color w:val="CC0000"/>
        </w:rPr>
        <w:t>.</w:t>
      </w:r>
    </w:p>
    <w:p w14:paraId="0000000F" w14:textId="77777777" w:rsidR="00DE6DB1" w:rsidRDefault="00000000">
      <w:pPr>
        <w:pStyle w:val="Heading1"/>
      </w:pPr>
      <w:bookmarkStart w:id="15" w:name="_Toc240125349"/>
      <w:r>
        <w:lastRenderedPageBreak/>
        <w:t>3. The Stalin Epigram as an Act of Defiance</w:t>
      </w:r>
      <w:bookmarkEnd w:id="15"/>
    </w:p>
    <w:p w14:paraId="00000010" w14:textId="44627DBF" w:rsidR="00DE6DB1" w:rsidRDefault="00000000">
      <w:pPr>
        <w:rPr>
          <w:b/>
          <w:bCs/>
          <w:color w:val="CC0000"/>
        </w:rPr>
      </w:pPr>
      <w:bookmarkStart w:id="16" w:name="_jfhh1ag7qtpx" w:colFirst="0" w:colLast="0"/>
      <w:bookmarkEnd w:id="16"/>
      <w:r>
        <w:rPr>
          <w:color w:val="CC0000"/>
          <w:highlight w:val="white"/>
        </w:rPr>
        <w:t>The “Stalin Epigram” was unusual in its directness of challenge, for Mandelstam attacked his addressee, not in the abstract, not through oblique or allusive symbolism, but personally. The poem was composed in November 1933 and presented a portrait of the Soviet leader in deliberately defaming images that were in conflict with the public image of authority on which he based his political position. Mandelstam likened Stalin to the “Kremlin mountaineer”, thus revealing immediately the object of the poem, and transforming the leader from the stated object of derogation from a ranking political figure into a figure of derision.</w:t>
      </w:r>
      <w:r w:rsidR="003D2BBA">
        <w:rPr>
          <w:rStyle w:val="FootnoteReference"/>
          <w:color w:val="CC0000"/>
          <w:highlight w:val="white"/>
        </w:rPr>
        <w:footnoteReference w:id="4"/>
      </w:r>
      <w:r>
        <w:rPr>
          <w:color w:val="CC0000"/>
          <w:highlight w:val="white"/>
        </w:rPr>
        <w:t xml:space="preserve"> This attack was increased by the physical images. Stalin's hands were said to be "overgrown with flesh," and his words were likened to "units of </w:t>
      </w:r>
      <w:r w:rsidR="003114E8">
        <w:rPr>
          <w:color w:val="CC0000"/>
          <w:highlight w:val="white"/>
        </w:rPr>
        <w:t>measurement. Stalin’s</w:t>
      </w:r>
      <w:r>
        <w:rPr>
          <w:color w:val="CC0000"/>
          <w:highlight w:val="white"/>
        </w:rPr>
        <w:t xml:space="preserve"> hands were “overgrown with flesh,” while his speech was ‘words like units of measurement.’ This kind of imagery was commonly used as a way of linking Stalin's tangible presence to the pressure of his political choices. The poem also surrounded him with submissive officials, and it was political power under Stalin, the all-powerful. Mandelstam did not conjoin repression as a disembodied quality of the Soviet system with the figure of a ruler instead, he meditated over the very ergs of repression. This forthrightness was especially notable in a culture of discourse in which writing with a critical attitude toward Stalin was meaningful, for critics were facing dire consequences. Mandelstam quoted the epigram to his friends, thus placing a deliberately hostile portrait of Stalin beyond the bounds of official literature.</w:t>
      </w:r>
      <w:r w:rsidR="003D2BBA">
        <w:rPr>
          <w:rStyle w:val="FootnoteReference"/>
          <w:color w:val="CC0000"/>
          <w:highlight w:val="white"/>
        </w:rPr>
        <w:footnoteReference w:id="5"/>
      </w:r>
      <w:r>
        <w:rPr>
          <w:color w:val="CC0000"/>
          <w:highlight w:val="white"/>
        </w:rPr>
        <w:t xml:space="preserve"> His satire thus held up two mirrors to political power: one reflecting the source of his authority, the Soviet writers, forcing him to conform to the acceptable boundaries of ideology. It can be best thought of as a declaration of artistic and political freedom. Like most of Mandelstam's other writings, Mandelstam deliberately chose to channel his opposition through poetry, and such a willingness to "take a leap" is not necessarily a yearning for self-destruction. Instead, the epigram showed the way in which the literary language could be used as a vehicle for political resistance in a situation of censorship and repression</w:t>
      </w:r>
      <w:r>
        <w:rPr>
          <w:color w:val="CC0000"/>
        </w:rPr>
        <w:t>.</w:t>
      </w:r>
    </w:p>
    <w:p w14:paraId="00000011" w14:textId="77777777" w:rsidR="00DE6DB1" w:rsidRDefault="00000000">
      <w:pPr>
        <w:pStyle w:val="Heading1"/>
        <w:rPr>
          <w:b w:val="0"/>
          <w:bCs w:val="0"/>
          <w:sz w:val="24"/>
          <w:szCs w:val="24"/>
        </w:rPr>
      </w:pPr>
      <w:bookmarkStart w:id="17" w:name="_Toc240125350"/>
      <w:r>
        <w:lastRenderedPageBreak/>
        <w:t xml:space="preserve">4. </w:t>
      </w:r>
      <w:proofErr w:type="spellStart"/>
      <w:r>
        <w:t>Mandel’shtam’s</w:t>
      </w:r>
      <w:proofErr w:type="spellEnd"/>
      <w:r>
        <w:t xml:space="preserve"> Awareness of Political Risk</w:t>
      </w:r>
      <w:bookmarkEnd w:id="17"/>
    </w:p>
    <w:p w14:paraId="00000012" w14:textId="0277136E" w:rsidR="00DE6DB1" w:rsidRDefault="00000000">
      <w:pPr>
        <w:rPr>
          <w:b/>
          <w:bCs/>
          <w:color w:val="CC0000"/>
        </w:rPr>
      </w:pPr>
      <w:bookmarkStart w:id="18" w:name="_dormputl76mk" w:colFirst="0" w:colLast="0"/>
      <w:bookmarkEnd w:id="18"/>
      <w:r>
        <w:rPr>
          <w:color w:val="CC0000"/>
          <w:highlight w:val="white"/>
        </w:rPr>
        <w:t>Mandelstam knew that he had put himself in grave political peril when he wrote and distributed the “Stalin Epigram.” By 1933, the Soviet writers were operating in a more stifling cultural climate, in which there had been a growing trend of censoring literature that took aim at Stalin's policies, with Soviet writers being excluded from their professions and subjected to political persecution. So, this poem was both a direct insult and an attack that Mandelstam surely would not have thought it safe to make. He used to distribute the poem in such a way it seemed to indicate that the goal was to keep it to a minimum.</w:t>
      </w:r>
      <w:r w:rsidR="003D2BBA">
        <w:rPr>
          <w:rStyle w:val="FootnoteReference"/>
          <w:color w:val="CC0000"/>
          <w:highlight w:val="white"/>
        </w:rPr>
        <w:footnoteReference w:id="6"/>
      </w:r>
      <w:r>
        <w:rPr>
          <w:color w:val="CC0000"/>
          <w:highlight w:val="white"/>
        </w:rPr>
        <w:t xml:space="preserve"> It was not published, nor was it circulated by official literary channels rather it was recited privately to a few friends, including Boris Pasternak. Contemporaries' perception of the political dangers was heightened by the fact that Pasternak apparently considered the work to be very dangerous and the event of its recital to be “suicide.” This threat was in fact made an actuality in May 1934 when, following the attention of the authorities to the poem, Mandelstam was arrested. The epigram was brought to the fore in the investigation, and he was then sent into "internal exile. But although there might be punishment involved, this did not necessarily mean that Mandelstam wanted to destroy himself.</w:t>
      </w:r>
      <w:r w:rsidR="003D2BBA">
        <w:rPr>
          <w:rStyle w:val="FootnoteReference"/>
          <w:color w:val="CC0000"/>
          <w:highlight w:val="white"/>
        </w:rPr>
        <w:footnoteReference w:id="7"/>
      </w:r>
      <w:r>
        <w:rPr>
          <w:color w:val="CC0000"/>
          <w:highlight w:val="white"/>
        </w:rPr>
        <w:t xml:space="preserve"> His deliberate choice to circulate the poem in a limited way implies political risk-taking and artistic resistance and not necessarily self-destruction</w:t>
      </w:r>
      <w:r>
        <w:rPr>
          <w:color w:val="CC0000"/>
        </w:rPr>
        <w:t>.</w:t>
      </w:r>
    </w:p>
    <w:p w14:paraId="00000013" w14:textId="77777777" w:rsidR="00DE6DB1" w:rsidRDefault="00000000">
      <w:pPr>
        <w:pStyle w:val="Heading1"/>
        <w:rPr>
          <w:b w:val="0"/>
          <w:bCs w:val="0"/>
          <w:sz w:val="24"/>
          <w:szCs w:val="24"/>
        </w:rPr>
      </w:pPr>
      <w:bookmarkStart w:id="19" w:name="_Toc240125351"/>
      <w:r>
        <w:t>5. The Case for the “Act of Suicide” Interpretation</w:t>
      </w:r>
      <w:bookmarkEnd w:id="19"/>
    </w:p>
    <w:p w14:paraId="00000014" w14:textId="2F4F8355" w:rsidR="00DE6DB1" w:rsidRDefault="00000000">
      <w:pPr>
        <w:rPr>
          <w:b/>
          <w:bCs/>
          <w:color w:val="CC0000"/>
        </w:rPr>
      </w:pPr>
      <w:bookmarkStart w:id="20" w:name="_22wy0qs3bi8e" w:colFirst="0" w:colLast="0"/>
      <w:bookmarkEnd w:id="20"/>
      <w:r>
        <w:rPr>
          <w:color w:val="CC0000"/>
          <w:highlight w:val="white"/>
        </w:rPr>
        <w:t>The interpretation of “Stalin Epigram” as an “act of suicide” was based mainly on the enormous political risk of going so strongly against Stalin. Mandelstam didn't criticise the Soviet government per se, but he attacked Stalin himself, and he used insulting imagery – on purpose. In the political climate of the early 1930's, such words easily might have meant grave repercussions for the poet.</w:t>
      </w:r>
      <w:r w:rsidR="006D544C">
        <w:rPr>
          <w:rStyle w:val="FootnoteReference"/>
          <w:color w:val="CC0000"/>
          <w:highlight w:val="white"/>
        </w:rPr>
        <w:footnoteReference w:id="8"/>
      </w:r>
      <w:r>
        <w:rPr>
          <w:color w:val="CC0000"/>
          <w:highlight w:val="white"/>
        </w:rPr>
        <w:t xml:space="preserve"> This interpretation was reinforced by the knowledge that some of his contemporaries, such as Boris Pasternak, were aware of the very high level of hazard in the poem. It was also a powerful argument that Mandelstam recited the poem to others. It was noted that, although the circulation was small, each time this added to the chances of the pieces being brought to the attention of the authorities. Hence it seems that Mandelstam consciously risked a great deal politically in his expression of his </w:t>
      </w:r>
      <w:r>
        <w:rPr>
          <w:color w:val="CC0000"/>
          <w:highlight w:val="white"/>
        </w:rPr>
        <w:lastRenderedPageBreak/>
        <w:t>opposition. But his arrest in 1934 seemed to substantiate his dangerous act. In the context of this thought, an “act of suicide” does not necessarily mean that Mandelstam actually intended to take his own life but that he chose to put himself in a situation in which he inevitably risked his life. The poem transgressed socialist realism and its traditions of artistic integrity, and broke down the barriers of an assumed politicism that Soviet writers were expected to stay within. It was crucial that the difference between a risk of danger and pursuing destruction was maintained. The evidence showed extreme political recklessness and conscious opposition but, on its own, fell short of showing intention to bring down himself</w:t>
      </w:r>
      <w:r>
        <w:rPr>
          <w:color w:val="CC0000"/>
        </w:rPr>
        <w:t>.</w:t>
      </w:r>
    </w:p>
    <w:p w14:paraId="00000015" w14:textId="77777777" w:rsidR="00DE6DB1" w:rsidRDefault="00000000">
      <w:pPr>
        <w:pStyle w:val="Heading1"/>
        <w:rPr>
          <w:b w:val="0"/>
          <w:bCs w:val="0"/>
          <w:sz w:val="24"/>
          <w:szCs w:val="24"/>
        </w:rPr>
      </w:pPr>
      <w:bookmarkStart w:id="21" w:name="_Toc240125352"/>
      <w:r>
        <w:t>6. The Limits of the “Suicide” Interpretation</w:t>
      </w:r>
      <w:bookmarkEnd w:id="21"/>
    </w:p>
    <w:p w14:paraId="00000016" w14:textId="38E51423" w:rsidR="00DE6DB1" w:rsidRDefault="00000000">
      <w:pPr>
        <w:rPr>
          <w:b/>
          <w:bCs/>
          <w:color w:val="CC0000"/>
        </w:rPr>
      </w:pPr>
      <w:bookmarkStart w:id="22" w:name="_66q4ycss5c05" w:colFirst="0" w:colLast="0"/>
      <w:bookmarkEnd w:id="22"/>
      <w:r>
        <w:rPr>
          <w:color w:val="CC0000"/>
          <w:highlight w:val="white"/>
        </w:rPr>
        <w:t>When the politics of the “Stalin Epigram” is stripped from its intentions, it becomes less plausible that it was suicide. Mandelstam was well aware that the poem was “dangerous,” but being aware of danger doesn't always mean wanting to destroy oneself.</w:t>
      </w:r>
      <w:r w:rsidR="006D544C">
        <w:rPr>
          <w:rStyle w:val="FootnoteReference"/>
          <w:color w:val="CC0000"/>
          <w:highlight w:val="white"/>
        </w:rPr>
        <w:footnoteReference w:id="9"/>
      </w:r>
      <w:r>
        <w:rPr>
          <w:color w:val="CC0000"/>
          <w:highlight w:val="white"/>
        </w:rPr>
        <w:t xml:space="preserve"> Deliberate self-endangerment is not deliberate self-destruction. It was especially important that the epigram was not widely distributed. Mandelstam did not make a public posting of it, nor did he make it available formally. Rather, he recited it for a handful of friends. This indicates that he intended it to be read but was still trying to manage its dissemination. It is hard to imagine that he was going to try and punish himself by doing so. The subsequent course of events can also mislead the interpretation. The poem may seem as if, in the light of Mandelstam's arrest in 1934, his subsequent exile, and arrest and death in 1938, it </w:t>
      </w:r>
      <w:proofErr w:type="gramStart"/>
      <w:r>
        <w:rPr>
          <w:color w:val="CC0000"/>
          <w:highlight w:val="white"/>
        </w:rPr>
        <w:t>were</w:t>
      </w:r>
      <w:proofErr w:type="gramEnd"/>
      <w:r>
        <w:rPr>
          <w:color w:val="CC0000"/>
          <w:highlight w:val="white"/>
        </w:rPr>
        <w:t xml:space="preserve"> the first step on an inevitably destructive path. But later persecutions do not bear on Mandelstam's intentions when he wrote the epigram in 1933.</w:t>
      </w:r>
      <w:r w:rsidR="006D544C">
        <w:rPr>
          <w:rStyle w:val="FootnoteReference"/>
          <w:color w:val="CC0000"/>
          <w:highlight w:val="white"/>
        </w:rPr>
        <w:footnoteReference w:id="10"/>
      </w:r>
      <w:r>
        <w:rPr>
          <w:color w:val="CC0000"/>
          <w:highlight w:val="white"/>
        </w:rPr>
        <w:t xml:space="preserve"> It can thus be given a more convincing reading as conscious resistance but in formidable peril. Although Mandelstam had not excluded political repercussions, it isn't clear that he intended to destroy himself</w:t>
      </w:r>
      <w:r>
        <w:rPr>
          <w:color w:val="CC0000"/>
        </w:rPr>
        <w:t>.</w:t>
      </w:r>
    </w:p>
    <w:p w14:paraId="00000017" w14:textId="77777777" w:rsidR="00DE6DB1" w:rsidRDefault="00000000">
      <w:pPr>
        <w:pStyle w:val="Heading1"/>
        <w:rPr>
          <w:b w:val="0"/>
          <w:bCs w:val="0"/>
          <w:sz w:val="24"/>
          <w:szCs w:val="24"/>
        </w:rPr>
      </w:pPr>
      <w:bookmarkStart w:id="23" w:name="_Toc240125353"/>
      <w:r>
        <w:t>7. Memory, Martyrdom, and Later Interpretation</w:t>
      </w:r>
      <w:bookmarkEnd w:id="23"/>
    </w:p>
    <w:p w14:paraId="00000018" w14:textId="19E78CF2" w:rsidR="00DE6DB1" w:rsidRDefault="00000000">
      <w:pPr>
        <w:rPr>
          <w:b/>
          <w:bCs/>
          <w:color w:val="CC0000"/>
        </w:rPr>
      </w:pPr>
      <w:bookmarkStart w:id="24" w:name="_5qtimfvneja7" w:colFirst="0" w:colLast="0"/>
      <w:bookmarkEnd w:id="24"/>
      <w:r>
        <w:rPr>
          <w:color w:val="CC0000"/>
          <w:highlight w:val="white"/>
        </w:rPr>
        <w:t xml:space="preserve">The remembrance of the “Stalin Epigram” was influenced by Mandelstam's later persecution. After his arrest in 1934, his re-arrest in 1938, and his later death, readers came to admire the poem as a martyrdom and as a step on the road to his eventual destruction. But what has happened since then </w:t>
      </w:r>
      <w:r>
        <w:rPr>
          <w:color w:val="CC0000"/>
          <w:highlight w:val="white"/>
        </w:rPr>
        <w:lastRenderedPageBreak/>
        <w:t>is not necessarily the same evidence of what Mandelstam originally meant when he wrote the poem in 1933. Later, the word that his poetry is associated with resistance brings the epigram an additional historical and moral dimension, which is always potentially problematic as a focus for interpretation.</w:t>
      </w:r>
      <w:r w:rsidR="006D544C">
        <w:rPr>
          <w:rStyle w:val="FootnoteReference"/>
          <w:color w:val="CC0000"/>
          <w:highlight w:val="white"/>
        </w:rPr>
        <w:footnoteReference w:id="11"/>
      </w:r>
      <w:r>
        <w:rPr>
          <w:color w:val="CC0000"/>
          <w:highlight w:val="white"/>
        </w:rPr>
        <w:t xml:space="preserve"> Outcome is still a different matter than intention. The circumstances of the composition of the poem argue for a conscious act of politically defiant poetry the circumstances of Mandelstam's fate further reinforced the act of his poem as a resistance movement</w:t>
      </w:r>
      <w:r>
        <w:rPr>
          <w:color w:val="CC0000"/>
        </w:rPr>
        <w:t>.</w:t>
      </w:r>
    </w:p>
    <w:p w14:paraId="00000019" w14:textId="77777777" w:rsidR="00DE6DB1" w:rsidRDefault="00000000">
      <w:pPr>
        <w:pStyle w:val="Heading1"/>
      </w:pPr>
      <w:bookmarkStart w:id="25" w:name="_Toc240125354"/>
      <w:r>
        <w:t>8. Conclusion</w:t>
      </w:r>
      <w:bookmarkEnd w:id="25"/>
    </w:p>
    <w:p w14:paraId="0000001A" w14:textId="525116D1" w:rsidR="00DE6DB1" w:rsidRDefault="00000000">
      <w:bookmarkStart w:id="26" w:name="_hv5kaksouey1" w:colFirst="0" w:colLast="0"/>
      <w:bookmarkEnd w:id="26"/>
      <w:r>
        <w:rPr>
          <w:color w:val="CC0000"/>
          <w:highlight w:val="white"/>
        </w:rPr>
        <w:t>Stalin Epigram can be considered more as a political and artistic provocation than a conscious gesture of self-destruction. Mandelstam was obviously aware of the risks involved in attacking Stalin and consciously took political risks. But it has to be noted that the poem was little known, and evidence of any intention of punishment does not exist. The fact he was arrested later, exiled, and died should not be a determinant of his original intention, as it made the poem more associated with martyrdom.</w:t>
      </w:r>
      <w:r w:rsidR="006D544C">
        <w:rPr>
          <w:rStyle w:val="FootnoteReference"/>
          <w:color w:val="CC0000"/>
          <w:highlight w:val="white"/>
        </w:rPr>
        <w:footnoteReference w:id="12"/>
      </w:r>
      <w:r>
        <w:rPr>
          <w:color w:val="CC0000"/>
          <w:highlight w:val="white"/>
        </w:rPr>
        <w:t xml:space="preserve"> Finally, the epigram represented conscious resistance and artistic independence and opposition to the Stalinist repression.</w:t>
      </w:r>
      <w:r>
        <w:br w:type="page"/>
      </w:r>
    </w:p>
    <w:p w14:paraId="0000001B" w14:textId="77777777" w:rsidR="00DE6DB1" w:rsidRDefault="00000000">
      <w:pPr>
        <w:pStyle w:val="Heading1"/>
      </w:pPr>
      <w:bookmarkStart w:id="27" w:name="_d8yo6i1wikzq" w:colFirst="0" w:colLast="0"/>
      <w:bookmarkStart w:id="28" w:name="_Toc240125355"/>
      <w:bookmarkEnd w:id="27"/>
      <w:r>
        <w:lastRenderedPageBreak/>
        <w:t>Bibliography</w:t>
      </w:r>
      <w:bookmarkEnd w:id="28"/>
      <w:r>
        <w:t xml:space="preserve"> </w:t>
      </w:r>
    </w:p>
    <w:p w14:paraId="0000001C" w14:textId="77777777" w:rsidR="00DE6DB1" w:rsidRDefault="00000000">
      <w:r>
        <w:t xml:space="preserve">Blackburn, Matthew, and Daria Khlevniuk. "Escaping the long shadow of homo </w:t>
      </w:r>
      <w:proofErr w:type="spellStart"/>
      <w:r>
        <w:t>sovieticus</w:t>
      </w:r>
      <w:proofErr w:type="spellEnd"/>
      <w:r>
        <w:t>: Reassessing Stalin’s popularity and communist legacies in Post-Soviet Russia." Communist and Post-Communist Studies 57, no. 1 (2024): 154-173.</w:t>
      </w:r>
      <w:hyperlink r:id="rId7">
        <w:r>
          <w:rPr>
            <w:color w:val="1155CC"/>
            <w:u w:val="single"/>
          </w:rPr>
          <w:t>https://online.ucpress.edu/cpcs/article-pdf/57/1/154/832579/cpcs.2023.1817401.pdf</w:t>
        </w:r>
      </w:hyperlink>
    </w:p>
    <w:p w14:paraId="0000001D" w14:textId="77777777" w:rsidR="00DE6DB1" w:rsidRDefault="00000000">
      <w:r>
        <w:t>Franklin, Daria. "Field under Constraint: Soviet Literary Journals and Autonomy in Soviet Literary Life." PhD diss., Columbia University, 2025.</w:t>
      </w:r>
      <w:hyperlink r:id="rId8">
        <w:r>
          <w:rPr>
            <w:color w:val="1155CC"/>
            <w:u w:val="single"/>
          </w:rPr>
          <w:t>https://academiccommons.columbia.edu/doi/10.7916/rdpa-v282/download</w:t>
        </w:r>
      </w:hyperlink>
    </w:p>
    <w:p w14:paraId="0000001F" w14:textId="0E15B54E" w:rsidR="00DE6DB1" w:rsidRDefault="00000000">
      <w:r>
        <w:t>Ganitsky, Tania. "The significance of Osip Mandelstam for Paul Celan." Textual Practice (2025): 1-16.</w:t>
      </w:r>
      <w:hyperlink r:id="rId9">
        <w:r>
          <w:rPr>
            <w:color w:val="1155CC"/>
            <w:u w:val="single"/>
          </w:rPr>
          <w:t>https://www.tandfonline.com/doi/pdf/10.1080/0950236X.2025.2568761</w:t>
        </w:r>
      </w:hyperlink>
      <w:r w:rsidR="006D544C">
        <w:t xml:space="preserve"> </w:t>
      </w:r>
    </w:p>
    <w:p w14:paraId="00000020" w14:textId="77777777" w:rsidR="00DE6DB1" w:rsidRDefault="00000000">
      <w:r>
        <w:t>Maguire, Muireann. Invading the American Canon: Translators of Russian Literary Fiction, 1863-1984. University of Exeter, 2025.</w:t>
      </w:r>
      <w:hyperlink r:id="rId10">
        <w:r>
          <w:rPr>
            <w:color w:val="1155CC"/>
            <w:u w:val="single"/>
          </w:rPr>
          <w:t>https://ore.exeter.ac.uk/articles/book/Invading_the_American_Canon_Translators_of_Russian_Literary_Fiction_1863-1984/32824967/1/files/66074696.pdf</w:t>
        </w:r>
      </w:hyperlink>
    </w:p>
    <w:p w14:paraId="00000021" w14:textId="77777777" w:rsidR="00DE6DB1" w:rsidRDefault="00000000">
      <w:r>
        <w:t>Meyer, Alysia Gayle. "Maxim Gorky’s Illusionary Reformation of Human Nature and the Rise of the Soviet Citizen: Socialist Realism as a Constructive Force in Mother." (2025).</w:t>
      </w:r>
      <w:hyperlink r:id="rId11">
        <w:r>
          <w:rPr>
            <w:color w:val="1155CC"/>
            <w:u w:val="single"/>
          </w:rPr>
          <w:t>https://digitalcommons.spu.edu/cgi/viewcontent.cgi?article=1240&amp;context=honorsprojects</w:t>
        </w:r>
      </w:hyperlink>
    </w:p>
    <w:p w14:paraId="00000022" w14:textId="77777777" w:rsidR="00DE6DB1" w:rsidRDefault="00000000">
      <w:r>
        <w:t xml:space="preserve">Ostrovskaya, Elena, Elena Zemskova, </w:t>
      </w:r>
      <w:proofErr w:type="spellStart"/>
      <w:r>
        <w:t>Evgeniia</w:t>
      </w:r>
      <w:proofErr w:type="spellEnd"/>
      <w:r>
        <w:t xml:space="preserve"> Belskaia, and Georgii Korotkov. "International Literature: A Multi-language Soviet Journal as a Model of “World Literature” of the Mid-1930s USSR." In World Literature in the Soviet Union, pp. 137-164. Academic Studies Press, 2023.</w:t>
      </w:r>
      <w:hyperlink r:id="rId12">
        <w:r>
          <w:rPr>
            <w:color w:val="1155CC"/>
            <w:u w:val="single"/>
          </w:rPr>
          <w:t>https://www.degruyterbrill.com/document/doi/10.1515/9798887194165-009/html</w:t>
        </w:r>
      </w:hyperlink>
    </w:p>
    <w:p w14:paraId="00000025" w14:textId="5C2E2447" w:rsidR="00DE6DB1" w:rsidRDefault="00000000">
      <w:r>
        <w:t>Palmer, Isobel. "Re (-) vision in Boris Pasternak’s “City”." The Slavic and East European Journal 66, no. 3 (2022): 411-427.</w:t>
      </w:r>
      <w:hyperlink r:id="rId13">
        <w:r>
          <w:rPr>
            <w:color w:val="1155CC"/>
            <w:u w:val="single"/>
          </w:rPr>
          <w:t>https://research.birmingham.ac.uk/files/165880317/SEEJ_Palmer_Final.pdf</w:t>
        </w:r>
      </w:hyperlink>
      <w:r w:rsidR="006D544C">
        <w:t xml:space="preserve"> </w:t>
      </w:r>
    </w:p>
    <w:p w14:paraId="00000026" w14:textId="77777777" w:rsidR="00DE6DB1" w:rsidRDefault="00DE6DB1"/>
    <w:p w14:paraId="00000027" w14:textId="77777777" w:rsidR="00DE6DB1" w:rsidRDefault="00DE6DB1"/>
    <w:p w14:paraId="00000028" w14:textId="77777777" w:rsidR="00DE6DB1" w:rsidRDefault="00DE6DB1"/>
    <w:sectPr w:rsidR="00DE6DB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0F1F" w14:textId="77777777" w:rsidR="00995BC2" w:rsidRDefault="00995BC2">
      <w:pPr>
        <w:spacing w:line="240" w:lineRule="auto"/>
      </w:pPr>
      <w:r>
        <w:separator/>
      </w:r>
    </w:p>
  </w:endnote>
  <w:endnote w:type="continuationSeparator" w:id="0">
    <w:p w14:paraId="2DFEA948" w14:textId="77777777" w:rsidR="00995BC2" w:rsidRDefault="00995B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83B196E-8D25-4641-A493-DF6E2BE50D67}"/>
  </w:font>
  <w:font w:name="Calibri">
    <w:panose1 w:val="020F0502020204030204"/>
    <w:charset w:val="00"/>
    <w:family w:val="swiss"/>
    <w:pitch w:val="variable"/>
    <w:sig w:usb0="E4002EFF" w:usb1="C200247B" w:usb2="00000009" w:usb3="00000000" w:csb0="000001FF" w:csb1="00000000"/>
    <w:embedRegular r:id="rId2" w:fontKey="{540A5011-45B0-4370-A128-BE0684BAB7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D" w14:textId="77777777" w:rsidR="00DE6DB1" w:rsidRDefault="00DE6DB1">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884388"/>
      <w:docPartObj>
        <w:docPartGallery w:val="Page Numbers (Bottom of Page)"/>
        <w:docPartUnique/>
      </w:docPartObj>
    </w:sdtPr>
    <w:sdtEndPr>
      <w:rPr>
        <w:noProof/>
      </w:rPr>
    </w:sdtEndPr>
    <w:sdtContent>
      <w:p w14:paraId="77C42E1B" w14:textId="2780B039" w:rsidR="003114E8" w:rsidRDefault="003114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0002E" w14:textId="77777777" w:rsidR="00DE6DB1" w:rsidRDefault="00DE6DB1">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77777777" w:rsidR="00DE6DB1" w:rsidRDefault="00DE6DB1">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71605" w14:textId="77777777" w:rsidR="00995BC2" w:rsidRDefault="00995BC2">
      <w:pPr>
        <w:spacing w:line="240" w:lineRule="auto"/>
      </w:pPr>
      <w:r>
        <w:separator/>
      </w:r>
    </w:p>
  </w:footnote>
  <w:footnote w:type="continuationSeparator" w:id="0">
    <w:p w14:paraId="4FCEF2A5" w14:textId="77777777" w:rsidR="00995BC2" w:rsidRDefault="00995BC2">
      <w:pPr>
        <w:spacing w:line="240" w:lineRule="auto"/>
      </w:pPr>
      <w:r>
        <w:continuationSeparator/>
      </w:r>
    </w:p>
  </w:footnote>
  <w:footnote w:id="1">
    <w:p w14:paraId="30AFAC5F" w14:textId="024CE206" w:rsidR="003D2BBA" w:rsidRPr="003D2BBA" w:rsidRDefault="003D2BBA">
      <w:pPr>
        <w:pStyle w:val="FootnoteText"/>
        <w:rPr>
          <w:lang w:val="en-US"/>
        </w:rPr>
      </w:pPr>
      <w:r>
        <w:rPr>
          <w:rStyle w:val="FootnoteReference"/>
        </w:rPr>
        <w:footnoteRef/>
      </w:r>
      <w:r>
        <w:t xml:space="preserve"> </w:t>
      </w:r>
      <w:r w:rsidRPr="003D2BBA">
        <w:t>Ganitsky, “Significance of Osip Mandelstam</w:t>
      </w:r>
      <w:r>
        <w:t>.</w:t>
      </w:r>
    </w:p>
  </w:footnote>
  <w:footnote w:id="2">
    <w:p w14:paraId="2055049E" w14:textId="22C36D95" w:rsidR="003D2BBA" w:rsidRPr="003D2BBA" w:rsidRDefault="003D2BBA">
      <w:pPr>
        <w:pStyle w:val="FootnoteText"/>
        <w:rPr>
          <w:lang w:val="en-US"/>
        </w:rPr>
      </w:pPr>
      <w:r>
        <w:rPr>
          <w:rStyle w:val="FootnoteReference"/>
        </w:rPr>
        <w:footnoteRef/>
      </w:r>
      <w:r>
        <w:t xml:space="preserve"> </w:t>
      </w:r>
      <w:r w:rsidRPr="003D2BBA">
        <w:t>Ostrovskaya et al., “International Literature,” 137–145.</w:t>
      </w:r>
    </w:p>
  </w:footnote>
  <w:footnote w:id="3">
    <w:p w14:paraId="7856002B" w14:textId="466EA633" w:rsidR="003D2BBA" w:rsidRPr="003D2BBA" w:rsidRDefault="003D2BBA">
      <w:pPr>
        <w:pStyle w:val="FootnoteText"/>
        <w:rPr>
          <w:lang w:val="en-US"/>
        </w:rPr>
      </w:pPr>
      <w:r>
        <w:rPr>
          <w:rStyle w:val="FootnoteReference"/>
        </w:rPr>
        <w:footnoteRef/>
      </w:r>
      <w:r>
        <w:t xml:space="preserve"> </w:t>
      </w:r>
      <w:r w:rsidRPr="003D2BBA">
        <w:t>Meyer, “Maxim Gorky’s Illusionary Reformation of Human Nature,” 8–12</w:t>
      </w:r>
      <w:r>
        <w:t>.</w:t>
      </w:r>
    </w:p>
  </w:footnote>
  <w:footnote w:id="4">
    <w:p w14:paraId="5CC24AD1" w14:textId="29F2E316" w:rsidR="003D2BBA" w:rsidRPr="003D2BBA" w:rsidRDefault="003D2BBA">
      <w:pPr>
        <w:pStyle w:val="FootnoteText"/>
        <w:rPr>
          <w:lang w:val="en-US"/>
        </w:rPr>
      </w:pPr>
      <w:r>
        <w:rPr>
          <w:rStyle w:val="FootnoteReference"/>
        </w:rPr>
        <w:footnoteRef/>
      </w:r>
      <w:r>
        <w:t xml:space="preserve"> </w:t>
      </w:r>
      <w:r w:rsidRPr="003D2BBA">
        <w:t>Ostrovskaya et al., “International Literature,” 145–152.</w:t>
      </w:r>
    </w:p>
  </w:footnote>
  <w:footnote w:id="5">
    <w:p w14:paraId="117ED471" w14:textId="6CD57FAA" w:rsidR="003D2BBA" w:rsidRPr="003D2BBA" w:rsidRDefault="003D2BBA">
      <w:pPr>
        <w:pStyle w:val="FootnoteText"/>
        <w:rPr>
          <w:lang w:val="en-US"/>
        </w:rPr>
      </w:pPr>
      <w:r>
        <w:rPr>
          <w:rStyle w:val="FootnoteReference"/>
        </w:rPr>
        <w:footnoteRef/>
      </w:r>
      <w:r>
        <w:t xml:space="preserve"> </w:t>
      </w:r>
      <w:r w:rsidRPr="003D2BBA">
        <w:t>Ganitsky, “The Significance of Osip Mandelstam for Paul Celan,”2–5.</w:t>
      </w:r>
    </w:p>
  </w:footnote>
  <w:footnote w:id="6">
    <w:p w14:paraId="7DA5A7CE" w14:textId="26541359" w:rsidR="003D2BBA" w:rsidRPr="003D2BBA" w:rsidRDefault="003D2BBA">
      <w:pPr>
        <w:pStyle w:val="FootnoteText"/>
        <w:rPr>
          <w:lang w:val="en-US"/>
        </w:rPr>
      </w:pPr>
      <w:r>
        <w:rPr>
          <w:rStyle w:val="FootnoteReference"/>
        </w:rPr>
        <w:footnoteRef/>
      </w:r>
      <w:r>
        <w:t xml:space="preserve"> </w:t>
      </w:r>
      <w:r w:rsidRPr="003D2BBA">
        <w:t>Franklin, “Field under Constraint,” 20–30.</w:t>
      </w:r>
    </w:p>
  </w:footnote>
  <w:footnote w:id="7">
    <w:p w14:paraId="2D310B20" w14:textId="1DA86193" w:rsidR="003D2BBA" w:rsidRPr="003D2BBA" w:rsidRDefault="003D2BBA">
      <w:pPr>
        <w:pStyle w:val="FootnoteText"/>
        <w:rPr>
          <w:lang w:val="en-US"/>
        </w:rPr>
      </w:pPr>
      <w:r>
        <w:rPr>
          <w:rStyle w:val="FootnoteReference"/>
        </w:rPr>
        <w:footnoteRef/>
      </w:r>
      <w:r>
        <w:t xml:space="preserve"> </w:t>
      </w:r>
      <w:r w:rsidRPr="003D2BBA">
        <w:t xml:space="preserve">Maguire, </w:t>
      </w:r>
      <w:r w:rsidRPr="003D2BBA">
        <w:rPr>
          <w:i/>
          <w:iCs/>
        </w:rPr>
        <w:t>Invading the American Canon</w:t>
      </w:r>
      <w:r w:rsidRPr="003D2BBA">
        <w:t>,170–190</w:t>
      </w:r>
      <w:r>
        <w:t>.</w:t>
      </w:r>
    </w:p>
  </w:footnote>
  <w:footnote w:id="8">
    <w:p w14:paraId="186E19DD" w14:textId="4E071B13" w:rsidR="006D544C" w:rsidRPr="006D544C" w:rsidRDefault="006D544C">
      <w:pPr>
        <w:pStyle w:val="FootnoteText"/>
        <w:rPr>
          <w:lang w:val="en-US"/>
        </w:rPr>
      </w:pPr>
      <w:r>
        <w:rPr>
          <w:rStyle w:val="FootnoteReference"/>
        </w:rPr>
        <w:footnoteRef/>
      </w:r>
      <w:r>
        <w:t xml:space="preserve"> </w:t>
      </w:r>
      <w:r w:rsidRPr="006D544C">
        <w:t>Blackburn and Khlevniuk, “Escaping the Long Shadow of Homo Sovieticus,”156–160.</w:t>
      </w:r>
    </w:p>
  </w:footnote>
  <w:footnote w:id="9">
    <w:p w14:paraId="6A4DD8E5" w14:textId="721C0B29" w:rsidR="006D544C" w:rsidRPr="006D544C" w:rsidRDefault="006D544C">
      <w:pPr>
        <w:pStyle w:val="FootnoteText"/>
        <w:rPr>
          <w:lang w:val="en-US"/>
        </w:rPr>
      </w:pPr>
      <w:r>
        <w:rPr>
          <w:rStyle w:val="FootnoteReference"/>
        </w:rPr>
        <w:footnoteRef/>
      </w:r>
      <w:r>
        <w:t xml:space="preserve"> </w:t>
      </w:r>
      <w:r w:rsidRPr="006D544C">
        <w:t>Ganitsky, “The Significance of Osip Mandelstam for Paul Celan,”6–9.</w:t>
      </w:r>
    </w:p>
  </w:footnote>
  <w:footnote w:id="10">
    <w:p w14:paraId="47426073" w14:textId="24E5AB40" w:rsidR="006D544C" w:rsidRPr="006D544C" w:rsidRDefault="006D544C">
      <w:pPr>
        <w:pStyle w:val="FootnoteText"/>
        <w:rPr>
          <w:lang w:val="en-US"/>
        </w:rPr>
      </w:pPr>
      <w:r>
        <w:rPr>
          <w:rStyle w:val="FootnoteReference"/>
        </w:rPr>
        <w:footnoteRef/>
      </w:r>
      <w:r>
        <w:t xml:space="preserve"> </w:t>
      </w:r>
      <w:r w:rsidRPr="006D544C">
        <w:t>Blackburn and Khlevniuk, “Escaping the Long Shadow of Homo Sovieticus,”160–166.</w:t>
      </w:r>
    </w:p>
  </w:footnote>
  <w:footnote w:id="11">
    <w:p w14:paraId="6316D975" w14:textId="0FBA9293" w:rsidR="006D544C" w:rsidRPr="006D544C" w:rsidRDefault="006D544C">
      <w:pPr>
        <w:pStyle w:val="FootnoteText"/>
        <w:rPr>
          <w:lang w:val="en-US"/>
        </w:rPr>
      </w:pPr>
      <w:r>
        <w:rPr>
          <w:rStyle w:val="FootnoteReference"/>
        </w:rPr>
        <w:footnoteRef/>
      </w:r>
      <w:r>
        <w:t xml:space="preserve"> </w:t>
      </w:r>
      <w:r w:rsidRPr="006D544C">
        <w:t>Palmer, “</w:t>
      </w:r>
      <w:proofErr w:type="gramStart"/>
      <w:r w:rsidRPr="006D544C">
        <w:t>Re(-)vision</w:t>
      </w:r>
      <w:proofErr w:type="gramEnd"/>
      <w:r w:rsidRPr="006D544C">
        <w:t xml:space="preserve"> in Boris Pasternak’s ‘City,’” 415–420.</w:t>
      </w:r>
    </w:p>
  </w:footnote>
  <w:footnote w:id="12">
    <w:p w14:paraId="0BE520ED" w14:textId="43171484" w:rsidR="006D544C" w:rsidRPr="006D544C" w:rsidRDefault="006D544C">
      <w:pPr>
        <w:pStyle w:val="FootnoteText"/>
        <w:rPr>
          <w:lang w:val="en-US"/>
        </w:rPr>
      </w:pPr>
      <w:r>
        <w:rPr>
          <w:rStyle w:val="FootnoteReference"/>
        </w:rPr>
        <w:footnoteRef/>
      </w:r>
      <w:r>
        <w:t xml:space="preserve"> </w:t>
      </w:r>
      <w:r w:rsidRPr="006D544C">
        <w:t>Ganitsky, “The Significance of Osip Mandelstam for Paul Celan,”10–12.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77777777" w:rsidR="00DE6DB1" w:rsidRDefault="00DE6DB1">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A" w14:textId="1CED07DB" w:rsidR="00DE6DB1" w:rsidRDefault="00DE6DB1" w:rsidP="003114E8">
    <w:pPr>
      <w:pBdr>
        <w:top w:val="nil"/>
        <w:left w:val="nil"/>
        <w:bottom w:val="nil"/>
        <w:right w:val="nil"/>
        <w:between w:val="nil"/>
      </w:pBdr>
      <w:tabs>
        <w:tab w:val="center" w:pos="4680"/>
        <w:tab w:val="right" w:pos="9360"/>
      </w:tabs>
      <w:spacing w:line="240" w:lineRule="auto"/>
      <w:rPr>
        <w:color w:val="000000"/>
      </w:rPr>
    </w:pPr>
  </w:p>
  <w:p w14:paraId="0000002B" w14:textId="77777777" w:rsidR="00DE6DB1" w:rsidRDefault="00DE6DB1">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77777777" w:rsidR="00DE6DB1" w:rsidRDefault="00DE6DB1">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DB1"/>
    <w:rsid w:val="00276959"/>
    <w:rsid w:val="003114E8"/>
    <w:rsid w:val="003D2BBA"/>
    <w:rsid w:val="006D544C"/>
    <w:rsid w:val="00995BC2"/>
    <w:rsid w:val="00DB6759"/>
    <w:rsid w:val="00DE6DB1"/>
    <w:rsid w:val="00F10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0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28"/>
      <w:szCs w:val="28"/>
    </w:rPr>
  </w:style>
  <w:style w:type="paragraph" w:styleId="Heading2">
    <w:name w:val="heading 2"/>
    <w:basedOn w:val="Normal"/>
    <w:next w:val="Normal"/>
    <w:uiPriority w:val="9"/>
    <w:semiHidden/>
    <w:unhideWhenUsed/>
    <w:qFormat/>
    <w:pPr>
      <w:keepNext/>
      <w:keepLines/>
      <w:spacing w:before="360" w:after="120"/>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Footer">
    <w:name w:val="footer"/>
    <w:basedOn w:val="Normal"/>
    <w:link w:val="FooterChar"/>
    <w:uiPriority w:val="99"/>
    <w:unhideWhenUsed/>
    <w:rsid w:val="003114E8"/>
    <w:pPr>
      <w:tabs>
        <w:tab w:val="center" w:pos="4680"/>
        <w:tab w:val="right" w:pos="9360"/>
      </w:tabs>
      <w:spacing w:line="240" w:lineRule="auto"/>
      <w:jc w:val="left"/>
    </w:pPr>
    <w:rPr>
      <w:rFonts w:asciiTheme="minorHAnsi" w:eastAsiaTheme="minorEastAsia" w:hAnsiTheme="minorHAnsi"/>
      <w:sz w:val="22"/>
      <w:szCs w:val="22"/>
      <w:lang w:val="en-US" w:eastAsia="en-US"/>
    </w:rPr>
  </w:style>
  <w:style w:type="character" w:customStyle="1" w:styleId="FooterChar">
    <w:name w:val="Footer Char"/>
    <w:basedOn w:val="DefaultParagraphFont"/>
    <w:link w:val="Footer"/>
    <w:uiPriority w:val="99"/>
    <w:rsid w:val="003114E8"/>
    <w:rPr>
      <w:rFonts w:asciiTheme="minorHAnsi" w:eastAsiaTheme="minorEastAsia" w:hAnsiTheme="minorHAnsi"/>
      <w:sz w:val="22"/>
      <w:szCs w:val="22"/>
      <w:lang w:val="en-US" w:eastAsia="en-US"/>
    </w:rPr>
  </w:style>
  <w:style w:type="paragraph" w:styleId="TOCHeading">
    <w:name w:val="TOC Heading"/>
    <w:basedOn w:val="Heading1"/>
    <w:next w:val="Normal"/>
    <w:uiPriority w:val="39"/>
    <w:unhideWhenUsed/>
    <w:qFormat/>
    <w:rsid w:val="003114E8"/>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3114E8"/>
    <w:pPr>
      <w:spacing w:after="100"/>
    </w:pPr>
  </w:style>
  <w:style w:type="character" w:styleId="Hyperlink">
    <w:name w:val="Hyperlink"/>
    <w:basedOn w:val="DefaultParagraphFont"/>
    <w:uiPriority w:val="99"/>
    <w:unhideWhenUsed/>
    <w:rsid w:val="003114E8"/>
    <w:rPr>
      <w:color w:val="0000FF" w:themeColor="hyperlink"/>
      <w:u w:val="single"/>
    </w:rPr>
  </w:style>
  <w:style w:type="paragraph" w:styleId="FootnoteText">
    <w:name w:val="footnote text"/>
    <w:basedOn w:val="Normal"/>
    <w:link w:val="FootnoteTextChar"/>
    <w:uiPriority w:val="99"/>
    <w:semiHidden/>
    <w:unhideWhenUsed/>
    <w:rsid w:val="003D2BBA"/>
    <w:pPr>
      <w:spacing w:line="240" w:lineRule="auto"/>
    </w:pPr>
    <w:rPr>
      <w:sz w:val="20"/>
      <w:szCs w:val="20"/>
    </w:rPr>
  </w:style>
  <w:style w:type="character" w:customStyle="1" w:styleId="FootnoteTextChar">
    <w:name w:val="Footnote Text Char"/>
    <w:basedOn w:val="DefaultParagraphFont"/>
    <w:link w:val="FootnoteText"/>
    <w:uiPriority w:val="99"/>
    <w:semiHidden/>
    <w:rsid w:val="003D2BBA"/>
    <w:rPr>
      <w:sz w:val="20"/>
      <w:szCs w:val="20"/>
    </w:rPr>
  </w:style>
  <w:style w:type="character" w:styleId="FootnoteReference">
    <w:name w:val="footnote reference"/>
    <w:basedOn w:val="DefaultParagraphFont"/>
    <w:uiPriority w:val="99"/>
    <w:semiHidden/>
    <w:unhideWhenUsed/>
    <w:rsid w:val="003D2B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cademiccommons.columbia.edu/doi/10.7916/rdpa-v282/download" TargetMode="External"/><Relationship Id="rId13" Type="http://schemas.openxmlformats.org/officeDocument/2006/relationships/hyperlink" Target="https://research.birmingham.ac.uk/files/165880317/SEEJ_Palmer_Final.pdf"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nline.ucpress.edu/cpcs/article-pdf/57/1/154/832579/cpcs.2023.1817401.pdf" TargetMode="External"/><Relationship Id="rId12" Type="http://schemas.openxmlformats.org/officeDocument/2006/relationships/hyperlink" Target="https://www.degruyterbrill.com/document/doi/10.1515/9798887194165-009/htm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igitalcommons.spu.edu/cgi/viewcontent.cgi?article=1240&amp;context=honorsproject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ore.exeter.ac.uk/articles/book/Invading_the_American_Canon_Translators_of_Russian_Literary_Fiction_1863-1984/32824967/1/files/66074696.pdf"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tandfonline.com/doi/pdf/10.1080/0950236X.2025.2568761"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B4994-9611-4F7B-AE34-1A955B36D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2095</Words>
  <Characters>11943</Characters>
  <Application>Microsoft Office Word</Application>
  <DocSecurity>0</DocSecurity>
  <Lines>99</Lines>
  <Paragraphs>28</Paragraphs>
  <ScaleCrop>false</ScaleCrop>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2026-09-12T11:56:00Z</dcterms:created>
  <dcterms:modified xsi:type="dcterms:W3CDTF">2026-09-12T11:56:00Z</dcterms:modified>
</cp:coreProperties>
</file>