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0026E" w:rsidRPr="00417B52" w:rsidRDefault="00E0026E" w:rsidP="007E0935">
      <w:pPr>
        <w:spacing w:before="120" w:line="360" w:lineRule="auto"/>
        <w:jc w:val="center"/>
        <w:rPr>
          <w:rFonts w:ascii="Arial" w:hAnsi="Arial" w:cs="Arial"/>
          <w:b/>
          <w:noProof/>
          <w:color w:val="000000" w:themeColor="text1"/>
          <w:sz w:val="28"/>
          <w:szCs w:val="28"/>
          <w:lang w:val="en-US" w:eastAsia="en-GB"/>
        </w:rPr>
      </w:pPr>
      <w:r w:rsidRPr="00417B52">
        <w:rPr>
          <w:rFonts w:ascii="Arial" w:hAnsi="Arial" w:cs="Arial"/>
          <w:b/>
          <w:noProof/>
          <w:color w:val="000000" w:themeColor="text1"/>
          <w:sz w:val="28"/>
          <w:szCs w:val="28"/>
          <w:lang w:val="en-US" w:eastAsia="en-GB"/>
        </w:rPr>
        <w:t>Evidence of Learning</w:t>
      </w:r>
    </w:p>
    <w:p w:rsidR="00E0026E" w:rsidRPr="00417B52" w:rsidRDefault="00E0026E" w:rsidP="007E0935">
      <w:pPr>
        <w:spacing w:line="360" w:lineRule="auto"/>
        <w:rPr>
          <w:rFonts w:ascii="Arial" w:hAnsi="Arial" w:cs="Arial"/>
          <w:color w:val="000000" w:themeColor="text1"/>
          <w:lang w:val="en-US"/>
        </w:rPr>
      </w:pPr>
    </w:p>
    <w:p w:rsidR="005B7202" w:rsidRPr="00417B52" w:rsidRDefault="000E69D7" w:rsidP="007E0935">
      <w:pPr>
        <w:spacing w:line="360" w:lineRule="auto"/>
        <w:rPr>
          <w:rFonts w:ascii="Arial" w:hAnsi="Arial" w:cs="Arial"/>
          <w:color w:val="000000" w:themeColor="text1"/>
          <w:lang w:val="en-US"/>
        </w:rPr>
      </w:pPr>
      <w:proofErr w:type="spellStart"/>
      <w:r w:rsidRPr="00417B52">
        <w:rPr>
          <w:rFonts w:ascii="Arial" w:hAnsi="Arial" w:cs="Arial"/>
          <w:color w:val="000000" w:themeColor="text1"/>
          <w:kern w:val="0"/>
          <w:lang w:val="en-US"/>
        </w:rPr>
        <w:t>Trinter</w:t>
      </w:r>
      <w:proofErr w:type="spellEnd"/>
      <w:r w:rsidRPr="00417B52">
        <w:rPr>
          <w:rFonts w:ascii="Arial" w:hAnsi="Arial" w:cs="Arial"/>
          <w:color w:val="000000" w:themeColor="text1"/>
          <w:kern w:val="0"/>
          <w:lang w:val="en-US"/>
        </w:rPr>
        <w:t xml:space="preserve"> and Hughes (2021) </w:t>
      </w:r>
      <w:proofErr w:type="spellStart"/>
      <w:r w:rsidRPr="00417B52">
        <w:rPr>
          <w:rFonts w:ascii="Arial" w:hAnsi="Arial" w:cs="Arial"/>
          <w:color w:val="000000" w:themeColor="text1"/>
          <w:kern w:val="0"/>
          <w:lang w:val="en-US"/>
        </w:rPr>
        <w:t>emphasise</w:t>
      </w:r>
      <w:proofErr w:type="spellEnd"/>
      <w:r w:rsidRPr="00417B52">
        <w:rPr>
          <w:rFonts w:ascii="Arial" w:hAnsi="Arial" w:cs="Arial"/>
          <w:color w:val="000000" w:themeColor="text1"/>
          <w:kern w:val="0"/>
          <w:lang w:val="en-US"/>
        </w:rPr>
        <w:t xml:space="preserve"> that aligning lesson design with students' interests and content depth makes learning more meaningful and increases engagement. </w:t>
      </w:r>
      <w:r w:rsidR="005B7202" w:rsidRPr="00417B52">
        <w:rPr>
          <w:rFonts w:ascii="Arial" w:hAnsi="Arial" w:cs="Arial"/>
          <w:color w:val="000000" w:themeColor="text1"/>
          <w:lang w:val="en-US"/>
        </w:rPr>
        <w:t>A topic aim serves as a general statement of teaching goals, while lesson objectives are specific targets that students are expected to accomplish to achieve those goals. Mitchell and Manzo (2018) suggest that clearly communicating lesson objectives at the outset not only provides students with a roadmap for what they will learn but also sets expectations for how their progress will be evaluated. In my lesson, I planned to introduce the learning objectives early on, informing students that the content would shift from microeconomics to macroeconomics from this chapter onward.</w:t>
      </w:r>
      <w:r w:rsidR="00EF794E" w:rsidRPr="00417B52">
        <w:rPr>
          <w:rFonts w:ascii="Arial" w:hAnsi="Arial" w:cs="Arial"/>
          <w:color w:val="000000" w:themeColor="text1"/>
          <w:lang w:val="en-US"/>
        </w:rPr>
        <w:t xml:space="preserve"> </w:t>
      </w:r>
      <w:r w:rsidR="005B7202" w:rsidRPr="00417B52">
        <w:rPr>
          <w:rFonts w:ascii="Arial" w:hAnsi="Arial" w:cs="Arial"/>
          <w:color w:val="000000" w:themeColor="text1"/>
          <w:lang w:val="en-US"/>
        </w:rPr>
        <w:t>Effective lesson planning involves more than simply stating goals; it requires establishing a well-organised structure that facilitates learning</w:t>
      </w:r>
      <w:r w:rsidR="00EF794E" w:rsidRPr="00417B52">
        <w:rPr>
          <w:rFonts w:ascii="Arial" w:hAnsi="Arial" w:cs="Arial"/>
          <w:color w:val="000000" w:themeColor="text1"/>
          <w:lang w:val="en-US"/>
        </w:rPr>
        <w:t xml:space="preserve"> (Shin et al., 2017). </w:t>
      </w:r>
      <w:r w:rsidR="005B7202" w:rsidRPr="00417B52">
        <w:rPr>
          <w:rFonts w:ascii="Arial" w:hAnsi="Arial" w:cs="Arial"/>
          <w:color w:val="000000" w:themeColor="text1"/>
          <w:lang w:val="en-US"/>
        </w:rPr>
        <w:t>By incorporating a variety of activities and pacing the lesson appropriately, I aimed to engage students while aiding them in grasping complex concepts</w:t>
      </w:r>
      <w:r w:rsidR="00EF794E" w:rsidRPr="00417B52">
        <w:rPr>
          <w:rFonts w:ascii="Arial" w:hAnsi="Arial" w:cs="Arial"/>
          <w:color w:val="000000" w:themeColor="text1"/>
          <w:lang w:val="en-US"/>
        </w:rPr>
        <w:t xml:space="preserve">. </w:t>
      </w:r>
      <w:r w:rsidR="005B7202" w:rsidRPr="00417B52">
        <w:rPr>
          <w:rFonts w:ascii="Arial" w:hAnsi="Arial" w:cs="Arial"/>
          <w:color w:val="000000" w:themeColor="text1"/>
          <w:lang w:val="en-US"/>
        </w:rPr>
        <w:t>To initiate this process, I planned a recap activity designed to activate students' prior knowledge, asking them to distinguish between microeconomics and macroeconomics based on four statements. This engagement aimed to help them connect new information to what they already understood. To provide sufficient time for reflection and processing, I created a worksheet for students to fill in the blanks, ensuring they could fully engage with the content. At the conclusion of the lesson, I planned to assess student understanding through multiple-choice questions.</w:t>
      </w:r>
    </w:p>
    <w:p w:rsidR="00EF794E" w:rsidRPr="00417B52" w:rsidRDefault="00EF794E" w:rsidP="007E0935">
      <w:pPr>
        <w:spacing w:line="360" w:lineRule="auto"/>
        <w:rPr>
          <w:rFonts w:ascii="Arial" w:hAnsi="Arial" w:cs="Arial"/>
          <w:color w:val="000000" w:themeColor="text1"/>
          <w:lang w:val="en-US"/>
        </w:rPr>
      </w:pPr>
    </w:p>
    <w:p w:rsidR="005B7202" w:rsidRPr="00417B52" w:rsidRDefault="000E69D7" w:rsidP="007E0935">
      <w:pPr>
        <w:spacing w:line="360" w:lineRule="auto"/>
        <w:rPr>
          <w:rFonts w:ascii="Arial" w:hAnsi="Arial" w:cs="Arial"/>
          <w:color w:val="000000" w:themeColor="text1"/>
          <w:lang w:val="en-US"/>
        </w:rPr>
      </w:pPr>
      <w:r w:rsidRPr="00417B52">
        <w:rPr>
          <w:rFonts w:ascii="Arial" w:hAnsi="Arial" w:cs="Arial"/>
          <w:color w:val="000000" w:themeColor="text1"/>
          <w:kern w:val="0"/>
          <w:lang w:val="en-US"/>
        </w:rPr>
        <w:t xml:space="preserve">Research by Dong, Jong, and King (2020) links prior knowledge with engagement, highlighting that understanding students' existing knowledge enables better support. </w:t>
      </w:r>
      <w:r w:rsidR="005B7202" w:rsidRPr="00417B52">
        <w:rPr>
          <w:rFonts w:ascii="Arial" w:hAnsi="Arial" w:cs="Arial"/>
          <w:color w:val="000000" w:themeColor="text1"/>
          <w:lang w:val="en-US"/>
        </w:rPr>
        <w:t xml:space="preserve">Building on this insight, I began my lesson with an activity aimed at helping students connect new concepts to their prior knowledge. For instance, I asked them to differentiate between microeconomics and macroeconomics. To further solidify their grasp of the topic, I planned for students to draw the production possibility curve (PPC). This activity was intended to enable them to apply prior learning while clarifying new ideas about economic growth, both actual and potential. By illustrating the shifts in the </w:t>
      </w:r>
      <w:r w:rsidR="005B7202" w:rsidRPr="00417B52">
        <w:rPr>
          <w:rFonts w:ascii="Arial" w:hAnsi="Arial" w:cs="Arial"/>
          <w:color w:val="000000" w:themeColor="text1"/>
          <w:lang w:val="en-US"/>
        </w:rPr>
        <w:lastRenderedPageBreak/>
        <w:t>PPC, students could understand whether the movement was along the curve or whether the curve itself had shifted. As emphasised in a constructivist approach (Cambridge, 20</w:t>
      </w:r>
      <w:r w:rsidR="009502C8" w:rsidRPr="00417B52">
        <w:rPr>
          <w:rFonts w:ascii="Arial" w:hAnsi="Arial" w:cs="Arial"/>
          <w:color w:val="000000" w:themeColor="text1"/>
          <w:lang w:val="en-US"/>
        </w:rPr>
        <w:t>1</w:t>
      </w:r>
      <w:r w:rsidR="005B7202" w:rsidRPr="00417B52">
        <w:rPr>
          <w:rFonts w:ascii="Arial" w:hAnsi="Arial" w:cs="Arial"/>
          <w:color w:val="000000" w:themeColor="text1"/>
          <w:lang w:val="en-US"/>
        </w:rPr>
        <w:t>4), this method of learning through connection and reflection was planned to help students integrate new knowledge into their existing mental frameworks.</w:t>
      </w:r>
    </w:p>
    <w:p w:rsidR="00EF794E" w:rsidRPr="00417B52" w:rsidRDefault="00EF794E" w:rsidP="007E0935">
      <w:pPr>
        <w:spacing w:line="360" w:lineRule="auto"/>
        <w:rPr>
          <w:rFonts w:ascii="Arial" w:hAnsi="Arial" w:cs="Arial"/>
          <w:color w:val="000000" w:themeColor="text1"/>
          <w:lang w:val="en-US"/>
        </w:rPr>
      </w:pPr>
    </w:p>
    <w:p w:rsidR="005B7202" w:rsidRPr="00417B52" w:rsidRDefault="000E69D7" w:rsidP="007E0935">
      <w:pPr>
        <w:spacing w:line="360" w:lineRule="auto"/>
        <w:rPr>
          <w:rFonts w:ascii="Arial" w:hAnsi="Arial" w:cs="Arial"/>
          <w:color w:val="000000" w:themeColor="text1"/>
          <w:lang w:val="en-US"/>
        </w:rPr>
      </w:pPr>
      <w:r w:rsidRPr="00417B52">
        <w:rPr>
          <w:rFonts w:ascii="Arial" w:hAnsi="Arial" w:cs="Arial"/>
          <w:color w:val="000000" w:themeColor="text1"/>
          <w:kern w:val="0"/>
          <w:lang w:val="en-US"/>
        </w:rPr>
        <w:t xml:space="preserve">Monteiro, Mata, and Santos (2021) stress assessment’s role in evaluating understanding and guiding future learning. </w:t>
      </w:r>
      <w:r w:rsidR="005B7202" w:rsidRPr="00417B52">
        <w:rPr>
          <w:rFonts w:ascii="Arial" w:hAnsi="Arial" w:cs="Arial"/>
          <w:color w:val="000000" w:themeColor="text1"/>
          <w:lang w:val="en-US"/>
        </w:rPr>
        <w:t>I planned for continuous assessment to gauge whether students had mastered the content and whether adjustments were needed during the lesson. Additionally, assessments can help maintain student focus and increase engagement. Throughout the class, I intended to use a combination of questioning techniques and multiple-choice questions to monitor student comprehension. For example, I aimed to ask, “How can we compare developed and developing countries?” and “Is economic growth more beneficial when the growth rate is higher or lower?” These open-ended and closed questions were designed to provide opportunities for students to demonstrate their understanding and reflect on their thought processes. The multiple-choice questions at the end of the lesson were intended as a final check to determine if the learning objectives had been met.</w:t>
      </w:r>
    </w:p>
    <w:p w:rsidR="00EF794E" w:rsidRPr="00417B52" w:rsidRDefault="00EF794E" w:rsidP="007E0935">
      <w:pPr>
        <w:spacing w:line="360" w:lineRule="auto"/>
        <w:rPr>
          <w:rFonts w:ascii="Arial" w:hAnsi="Arial" w:cs="Arial"/>
          <w:color w:val="000000" w:themeColor="text1"/>
          <w:lang w:val="en-US"/>
        </w:rPr>
      </w:pPr>
    </w:p>
    <w:p w:rsidR="00F01F84" w:rsidRPr="00417B52" w:rsidRDefault="00500C86" w:rsidP="007E0935">
      <w:pPr>
        <w:spacing w:line="360" w:lineRule="auto"/>
        <w:rPr>
          <w:rFonts w:ascii="Arial" w:hAnsi="Arial" w:cs="Arial"/>
          <w:color w:val="000000" w:themeColor="text1"/>
          <w:lang w:val="en-US"/>
        </w:rPr>
      </w:pPr>
      <w:r w:rsidRPr="00417B52">
        <w:rPr>
          <w:rFonts w:ascii="Arial" w:hAnsi="Arial" w:cs="Arial"/>
          <w:color w:val="000000" w:themeColor="text1"/>
          <w:kern w:val="0"/>
          <w:lang w:val="en-US"/>
        </w:rPr>
        <w:t xml:space="preserve">Bloom’s Taxonomy (Chandio, </w:t>
      </w:r>
      <w:proofErr w:type="spellStart"/>
      <w:r w:rsidRPr="00417B52">
        <w:rPr>
          <w:rFonts w:ascii="Arial" w:hAnsi="Arial" w:cs="Arial"/>
          <w:color w:val="000000" w:themeColor="text1"/>
          <w:kern w:val="0"/>
          <w:lang w:val="en-US"/>
        </w:rPr>
        <w:t>Pandhiani</w:t>
      </w:r>
      <w:proofErr w:type="spellEnd"/>
      <w:r w:rsidRPr="00417B52">
        <w:rPr>
          <w:rFonts w:ascii="Arial" w:hAnsi="Arial" w:cs="Arial"/>
          <w:color w:val="000000" w:themeColor="text1"/>
          <w:kern w:val="0"/>
          <w:lang w:val="en-US"/>
        </w:rPr>
        <w:t xml:space="preserve">, &amp; Iqbal, 2016) </w:t>
      </w:r>
      <w:proofErr w:type="spellStart"/>
      <w:r w:rsidRPr="00417B52">
        <w:rPr>
          <w:rFonts w:ascii="Arial" w:hAnsi="Arial" w:cs="Arial"/>
          <w:color w:val="000000" w:themeColor="text1"/>
          <w:kern w:val="0"/>
          <w:lang w:val="en-US"/>
        </w:rPr>
        <w:t>categorises</w:t>
      </w:r>
      <w:proofErr w:type="spellEnd"/>
      <w:r w:rsidRPr="00417B52">
        <w:rPr>
          <w:rFonts w:ascii="Arial" w:hAnsi="Arial" w:cs="Arial"/>
          <w:color w:val="000000" w:themeColor="text1"/>
          <w:kern w:val="0"/>
          <w:lang w:val="en-US"/>
        </w:rPr>
        <w:t xml:space="preserve"> cognitive skills from basic recall to advanced thinking. </w:t>
      </w:r>
      <w:r w:rsidR="005B7202" w:rsidRPr="00417B52">
        <w:rPr>
          <w:rFonts w:ascii="Arial" w:hAnsi="Arial" w:cs="Arial"/>
          <w:color w:val="000000" w:themeColor="text1"/>
          <w:lang w:val="en-US"/>
        </w:rPr>
        <w:t>Given that the material in this lesson was more complex than in previous chapters, I planned for scaffolding to be especially important. I aimed to provide immediate feedback throughout the lesson, encouraging students to express whether they needed further clarification or additional support. Learning is a dynamic process, students are expected to develop essential skills such as teamwork, critical thinking, and problem-solving. These skills are vital not only for academic success but also for adapting to real-world challenges.</w:t>
      </w:r>
    </w:p>
    <w:p w:rsidR="00CF61E3" w:rsidRPr="00417B52" w:rsidRDefault="00CF61E3" w:rsidP="007E0935">
      <w:pPr>
        <w:spacing w:line="360" w:lineRule="auto"/>
        <w:rPr>
          <w:rFonts w:ascii="Arial" w:hAnsi="Arial" w:cs="Arial"/>
          <w:color w:val="000000" w:themeColor="text1"/>
          <w:lang w:val="en-US"/>
        </w:rPr>
      </w:pPr>
    </w:p>
    <w:p w:rsidR="00CF61E3" w:rsidRPr="00417B52" w:rsidRDefault="00CF61E3" w:rsidP="007E0935">
      <w:pPr>
        <w:spacing w:line="360" w:lineRule="auto"/>
        <w:rPr>
          <w:rFonts w:ascii="Arial" w:hAnsi="Arial" w:cs="Arial"/>
          <w:color w:val="000000" w:themeColor="text1"/>
          <w:lang w:val="en-US"/>
        </w:rPr>
      </w:pPr>
    </w:p>
    <w:p w:rsidR="00CF61E3" w:rsidRPr="00417B52" w:rsidRDefault="00CF61E3" w:rsidP="007E0935">
      <w:pPr>
        <w:spacing w:line="360" w:lineRule="auto"/>
        <w:rPr>
          <w:rFonts w:ascii="Arial" w:hAnsi="Arial" w:cs="Arial"/>
          <w:color w:val="000000" w:themeColor="text1"/>
          <w:lang w:val="en-US"/>
        </w:rPr>
      </w:pPr>
    </w:p>
    <w:p w:rsidR="009B20B2" w:rsidRPr="00417B52" w:rsidRDefault="009B20B2" w:rsidP="007E0935">
      <w:pPr>
        <w:spacing w:line="360" w:lineRule="auto"/>
        <w:rPr>
          <w:rFonts w:ascii="Arial" w:hAnsi="Arial" w:cs="Arial"/>
          <w:color w:val="000000" w:themeColor="text1"/>
          <w:lang w:val="en-US"/>
        </w:rPr>
      </w:pPr>
    </w:p>
    <w:p w:rsidR="009B20B2" w:rsidRPr="00417B52" w:rsidRDefault="009B20B2" w:rsidP="007E0935">
      <w:pPr>
        <w:spacing w:line="360" w:lineRule="auto"/>
        <w:rPr>
          <w:rFonts w:ascii="Arial" w:hAnsi="Arial" w:cs="Arial"/>
          <w:color w:val="000000" w:themeColor="text1"/>
          <w:lang w:val="en-US"/>
        </w:rPr>
      </w:pPr>
    </w:p>
    <w:p w:rsidR="003658C7" w:rsidRPr="00417B52" w:rsidRDefault="00CF61E3" w:rsidP="007E0935">
      <w:pPr>
        <w:spacing w:before="120" w:line="360" w:lineRule="auto"/>
        <w:rPr>
          <w:rFonts w:ascii="Arial" w:hAnsi="Arial" w:cs="Arial"/>
          <w:b/>
          <w:noProof/>
          <w:color w:val="000000" w:themeColor="text1"/>
          <w:sz w:val="28"/>
          <w:szCs w:val="28"/>
          <w:lang w:val="en-US" w:eastAsia="en-GB"/>
        </w:rPr>
      </w:pPr>
      <w:r w:rsidRPr="00417B52">
        <w:rPr>
          <w:rFonts w:ascii="Arial" w:hAnsi="Arial" w:cs="Arial"/>
          <w:b/>
          <w:noProof/>
          <w:color w:val="000000" w:themeColor="text1"/>
          <w:sz w:val="28"/>
          <w:szCs w:val="28"/>
          <w:lang w:val="en-US" w:eastAsia="en-GB"/>
        </w:rPr>
        <w:lastRenderedPageBreak/>
        <w:t>Reference</w:t>
      </w:r>
      <w:r w:rsidR="007E0935" w:rsidRPr="00417B52">
        <w:rPr>
          <w:rFonts w:ascii="Arial" w:hAnsi="Arial" w:cs="Arial"/>
          <w:b/>
          <w:noProof/>
          <w:color w:val="000000" w:themeColor="text1"/>
          <w:sz w:val="28"/>
          <w:szCs w:val="28"/>
          <w:lang w:val="en-US" w:eastAsia="en-GB"/>
        </w:rPr>
        <w:t>s</w:t>
      </w:r>
      <w:r w:rsidRPr="00417B52">
        <w:rPr>
          <w:rFonts w:ascii="Arial" w:hAnsi="Arial" w:cs="Arial"/>
          <w:b/>
          <w:noProof/>
          <w:color w:val="000000" w:themeColor="text1"/>
          <w:sz w:val="28"/>
          <w:szCs w:val="28"/>
          <w:lang w:val="en-US" w:eastAsia="en-GB"/>
        </w:rPr>
        <w:t>:</w:t>
      </w:r>
    </w:p>
    <w:p w:rsidR="009502C8" w:rsidRPr="00417B52" w:rsidRDefault="009502C8" w:rsidP="009502C8">
      <w:pPr>
        <w:pStyle w:val="NormalWeb"/>
        <w:spacing w:before="0" w:beforeAutospacing="0" w:after="0" w:afterAutospacing="0" w:line="360" w:lineRule="auto"/>
        <w:rPr>
          <w:rFonts w:ascii="Arial" w:hAnsi="Arial" w:cs="Arial"/>
          <w:color w:val="000000" w:themeColor="text1"/>
        </w:rPr>
      </w:pPr>
      <w:r w:rsidRPr="00417B52">
        <w:rPr>
          <w:rFonts w:ascii="Arial" w:hAnsi="Arial" w:cs="Arial"/>
          <w:color w:val="000000" w:themeColor="text1"/>
        </w:rPr>
        <w:t>Cambridge Assessment International Education (2014). </w:t>
      </w:r>
      <w:r w:rsidRPr="00417B52">
        <w:rPr>
          <w:rFonts w:ascii="Arial" w:hAnsi="Arial" w:cs="Arial"/>
          <w:iCs/>
          <w:color w:val="000000" w:themeColor="text1"/>
        </w:rPr>
        <w:t>Getting started with metacognition</w:t>
      </w:r>
      <w:r w:rsidRPr="00417B52">
        <w:rPr>
          <w:rFonts w:ascii="Arial" w:hAnsi="Arial" w:cs="Arial"/>
          <w:color w:val="000000" w:themeColor="text1"/>
        </w:rPr>
        <w:t xml:space="preserve">. [online] Cambridge-community.org.uk. Available at: </w:t>
      </w:r>
      <w:hyperlink r:id="rId6" w:history="1">
        <w:r w:rsidRPr="00417B52">
          <w:rPr>
            <w:rStyle w:val="Hyperlink"/>
            <w:rFonts w:ascii="Arial" w:hAnsi="Arial" w:cs="Arial"/>
            <w:color w:val="000000" w:themeColor="text1"/>
          </w:rPr>
          <w:t>https://cambridge-community.org.uk/professional-development/gswmeta/index.html</w:t>
        </w:r>
      </w:hyperlink>
      <w:r w:rsidRPr="00417B52">
        <w:rPr>
          <w:rFonts w:ascii="Arial" w:hAnsi="Arial" w:cs="Arial"/>
          <w:color w:val="000000" w:themeColor="text1"/>
        </w:rPr>
        <w:t>.</w:t>
      </w:r>
    </w:p>
    <w:p w:rsidR="009502C8" w:rsidRPr="00417B52" w:rsidRDefault="009502C8" w:rsidP="009502C8">
      <w:pPr>
        <w:pStyle w:val="NormalWeb"/>
        <w:spacing w:before="0" w:beforeAutospacing="0" w:after="0" w:afterAutospacing="0" w:line="360" w:lineRule="auto"/>
        <w:rPr>
          <w:rFonts w:ascii="Arial" w:hAnsi="Arial" w:cs="Arial"/>
          <w:color w:val="000000" w:themeColor="text1"/>
        </w:rPr>
      </w:pPr>
    </w:p>
    <w:p w:rsidR="00CF61E3" w:rsidRPr="00417B52" w:rsidRDefault="00CF61E3" w:rsidP="007E0935">
      <w:pPr>
        <w:spacing w:before="120" w:line="360" w:lineRule="auto"/>
        <w:rPr>
          <w:rFonts w:ascii="Arial" w:hAnsi="Arial" w:cs="Arial"/>
          <w:bCs/>
          <w:noProof/>
          <w:color w:val="000000" w:themeColor="text1"/>
          <w:lang w:eastAsia="en-GB"/>
        </w:rPr>
      </w:pPr>
      <w:r w:rsidRPr="00417B52">
        <w:rPr>
          <w:rFonts w:ascii="Arial" w:hAnsi="Arial" w:cs="Arial"/>
          <w:bCs/>
          <w:noProof/>
          <w:color w:val="000000" w:themeColor="text1"/>
          <w:lang w:eastAsia="en-GB"/>
        </w:rPr>
        <w:t>Chandio, M.T., Pandhiani, S.M. and Iqbal, S. (2016). Bloom’s Taxonomy: Improving Assessment and Teaching-Learning Process. </w:t>
      </w:r>
      <w:r w:rsidRPr="00417B52">
        <w:rPr>
          <w:rFonts w:ascii="Arial" w:hAnsi="Arial" w:cs="Arial"/>
          <w:bCs/>
          <w:iCs/>
          <w:noProof/>
          <w:color w:val="000000" w:themeColor="text1"/>
          <w:lang w:eastAsia="en-GB"/>
        </w:rPr>
        <w:t>Journal of Education and Educational Development</w:t>
      </w:r>
      <w:r w:rsidRPr="00417B52">
        <w:rPr>
          <w:rFonts w:ascii="Arial" w:hAnsi="Arial" w:cs="Arial"/>
          <w:bCs/>
          <w:noProof/>
          <w:color w:val="000000" w:themeColor="text1"/>
          <w:lang w:eastAsia="en-GB"/>
        </w:rPr>
        <w:t>, [online] 3(2), p.203. doi:https://doi.org/10.22555/joeed.v3i2.1034.</w:t>
      </w:r>
    </w:p>
    <w:p w:rsidR="009502C8" w:rsidRPr="00417B52" w:rsidRDefault="009502C8" w:rsidP="007E0935">
      <w:pPr>
        <w:spacing w:before="120" w:line="360" w:lineRule="auto"/>
        <w:rPr>
          <w:rFonts w:ascii="Arial" w:hAnsi="Arial" w:cs="Arial"/>
          <w:bCs/>
          <w:noProof/>
          <w:color w:val="000000" w:themeColor="text1"/>
          <w:lang w:eastAsia="en-GB"/>
        </w:rPr>
      </w:pPr>
    </w:p>
    <w:p w:rsidR="00CF61E3" w:rsidRPr="00417B52" w:rsidRDefault="00CF61E3" w:rsidP="007E0935">
      <w:pPr>
        <w:spacing w:before="120" w:line="360" w:lineRule="auto"/>
        <w:rPr>
          <w:rFonts w:ascii="Arial" w:hAnsi="Arial" w:cs="Arial"/>
          <w:bCs/>
          <w:noProof/>
          <w:color w:val="000000" w:themeColor="text1"/>
          <w:lang w:val="en-US" w:eastAsia="en-GB"/>
        </w:rPr>
      </w:pPr>
      <w:r w:rsidRPr="00417B52">
        <w:rPr>
          <w:rFonts w:ascii="Arial" w:hAnsi="Arial" w:cs="Arial"/>
          <w:bCs/>
          <w:noProof/>
          <w:color w:val="000000" w:themeColor="text1"/>
          <w:lang w:val="en-US" w:eastAsia="en-GB"/>
        </w:rPr>
        <w:t xml:space="preserve">Dong, A., Jong, M.S.-Y. and King, R.B. (2020). How Does Prior Knowledge Influence Learning Engagement? The Mediating Roles of Cognitive Load and Help-Seeking. </w:t>
      </w:r>
      <w:r w:rsidRPr="00417B52">
        <w:rPr>
          <w:rFonts w:ascii="Arial" w:hAnsi="Arial" w:cs="Arial"/>
          <w:bCs/>
          <w:iCs/>
          <w:noProof/>
          <w:color w:val="000000" w:themeColor="text1"/>
          <w:lang w:val="en-US" w:eastAsia="en-GB"/>
        </w:rPr>
        <w:t>Frontiers in Psychology</w:t>
      </w:r>
      <w:r w:rsidRPr="00417B52">
        <w:rPr>
          <w:rFonts w:ascii="Arial" w:hAnsi="Arial" w:cs="Arial"/>
          <w:bCs/>
          <w:noProof/>
          <w:color w:val="000000" w:themeColor="text1"/>
          <w:lang w:val="en-US" w:eastAsia="en-GB"/>
        </w:rPr>
        <w:t>, 11(1). doi:https://doi.org/10.3389/fpsyg.2020.591203.</w:t>
      </w:r>
    </w:p>
    <w:p w:rsidR="009502C8" w:rsidRPr="00417B52" w:rsidRDefault="009502C8" w:rsidP="007E0935">
      <w:pPr>
        <w:spacing w:before="120" w:line="360" w:lineRule="auto"/>
        <w:rPr>
          <w:rFonts w:ascii="Arial" w:hAnsi="Arial" w:cs="Arial"/>
          <w:bCs/>
          <w:noProof/>
          <w:color w:val="000000" w:themeColor="text1"/>
          <w:lang w:val="en-US" w:eastAsia="en-GB"/>
        </w:rPr>
      </w:pPr>
    </w:p>
    <w:p w:rsidR="00CF61E3" w:rsidRPr="00417B52" w:rsidRDefault="00CF61E3" w:rsidP="007E0935">
      <w:pPr>
        <w:spacing w:before="120" w:line="360" w:lineRule="auto"/>
        <w:rPr>
          <w:rFonts w:ascii="Arial" w:hAnsi="Arial" w:cs="Arial"/>
          <w:bCs/>
          <w:noProof/>
          <w:color w:val="000000" w:themeColor="text1"/>
          <w:lang w:val="en-US" w:eastAsia="en-GB"/>
        </w:rPr>
      </w:pPr>
      <w:r w:rsidRPr="00417B52">
        <w:rPr>
          <w:rFonts w:ascii="Arial" w:hAnsi="Arial" w:cs="Arial"/>
          <w:bCs/>
          <w:noProof/>
          <w:color w:val="000000" w:themeColor="text1"/>
          <w:lang w:val="en-US" w:eastAsia="en-GB"/>
        </w:rPr>
        <w:t xml:space="preserve">Mitchell, K.M.W. and Manzo, W.R. (2018). The Purpose and Perception of Learning Objectives. </w:t>
      </w:r>
      <w:r w:rsidRPr="00417B52">
        <w:rPr>
          <w:rFonts w:ascii="Arial" w:hAnsi="Arial" w:cs="Arial"/>
          <w:bCs/>
          <w:iCs/>
          <w:noProof/>
          <w:color w:val="000000" w:themeColor="text1"/>
          <w:lang w:val="en-US" w:eastAsia="en-GB"/>
        </w:rPr>
        <w:t>Journal of Political Science Education</w:t>
      </w:r>
      <w:r w:rsidRPr="00417B52">
        <w:rPr>
          <w:rFonts w:ascii="Arial" w:hAnsi="Arial" w:cs="Arial"/>
          <w:bCs/>
          <w:noProof/>
          <w:color w:val="000000" w:themeColor="text1"/>
          <w:lang w:val="en-US" w:eastAsia="en-GB"/>
        </w:rPr>
        <w:t>, 14(4), pp.456–472.</w:t>
      </w:r>
    </w:p>
    <w:p w:rsidR="009502C8" w:rsidRPr="00417B52" w:rsidRDefault="009502C8" w:rsidP="007E0935">
      <w:pPr>
        <w:spacing w:before="120" w:line="360" w:lineRule="auto"/>
        <w:rPr>
          <w:rFonts w:ascii="Arial" w:hAnsi="Arial" w:cs="Arial"/>
          <w:bCs/>
          <w:noProof/>
          <w:color w:val="000000" w:themeColor="text1"/>
          <w:lang w:val="en-US" w:eastAsia="en-GB"/>
        </w:rPr>
      </w:pPr>
    </w:p>
    <w:p w:rsidR="00CF61E3" w:rsidRPr="00417B52" w:rsidRDefault="00CF61E3" w:rsidP="007E0935">
      <w:pPr>
        <w:spacing w:before="120" w:line="360" w:lineRule="auto"/>
        <w:rPr>
          <w:rFonts w:ascii="Arial" w:hAnsi="Arial" w:cs="Arial"/>
          <w:bCs/>
          <w:noProof/>
          <w:color w:val="000000" w:themeColor="text1"/>
          <w:lang w:val="en-US" w:eastAsia="en-GB"/>
        </w:rPr>
      </w:pPr>
      <w:r w:rsidRPr="00417B52">
        <w:rPr>
          <w:rFonts w:ascii="Arial" w:hAnsi="Arial" w:cs="Arial"/>
          <w:bCs/>
          <w:noProof/>
          <w:color w:val="000000" w:themeColor="text1"/>
          <w:lang w:val="en-US" w:eastAsia="en-GB"/>
        </w:rPr>
        <w:t xml:space="preserve">Monteiro, V., Mata, L. and Santos, N.N. (2021). Assessment Conceptions and Practices: Perspectives of Primary School Teachers and Students. </w:t>
      </w:r>
      <w:r w:rsidRPr="00417B52">
        <w:rPr>
          <w:rFonts w:ascii="Arial" w:hAnsi="Arial" w:cs="Arial"/>
          <w:bCs/>
          <w:iCs/>
          <w:noProof/>
          <w:color w:val="000000" w:themeColor="text1"/>
          <w:lang w:val="en-US" w:eastAsia="en-GB"/>
        </w:rPr>
        <w:t>Frontiers in Education</w:t>
      </w:r>
      <w:r w:rsidRPr="00417B52">
        <w:rPr>
          <w:rFonts w:ascii="Arial" w:hAnsi="Arial" w:cs="Arial"/>
          <w:bCs/>
          <w:noProof/>
          <w:color w:val="000000" w:themeColor="text1"/>
          <w:lang w:val="en-US" w:eastAsia="en-GB"/>
        </w:rPr>
        <w:t>, [online] 6(6). doi:https://doi.org/10.3389/feduc.2021.631185.</w:t>
      </w:r>
    </w:p>
    <w:p w:rsidR="009502C8" w:rsidRPr="00417B52" w:rsidRDefault="009502C8" w:rsidP="007E0935">
      <w:pPr>
        <w:spacing w:before="120" w:line="360" w:lineRule="auto"/>
        <w:rPr>
          <w:rFonts w:ascii="Arial" w:hAnsi="Arial" w:cs="Arial"/>
          <w:bCs/>
          <w:noProof/>
          <w:color w:val="000000" w:themeColor="text1"/>
          <w:lang w:val="en-US" w:eastAsia="en-GB"/>
        </w:rPr>
      </w:pPr>
    </w:p>
    <w:p w:rsidR="00CF61E3" w:rsidRPr="00417B52" w:rsidRDefault="00CF61E3" w:rsidP="007E0935">
      <w:pPr>
        <w:spacing w:before="120" w:line="360" w:lineRule="auto"/>
        <w:rPr>
          <w:rFonts w:ascii="Arial" w:hAnsi="Arial" w:cs="Arial"/>
          <w:bCs/>
          <w:noProof/>
          <w:color w:val="000000" w:themeColor="text1"/>
          <w:lang w:val="en-US" w:eastAsia="en-GB"/>
        </w:rPr>
      </w:pPr>
      <w:r w:rsidRPr="00417B52">
        <w:rPr>
          <w:rFonts w:ascii="Arial" w:hAnsi="Arial" w:cs="Arial"/>
          <w:bCs/>
          <w:noProof/>
          <w:color w:val="000000" w:themeColor="text1"/>
          <w:lang w:val="en-US" w:eastAsia="en-GB"/>
        </w:rPr>
        <w:t xml:space="preserve">Shin, N., Choi, S.-Y., Stevens, S.Y. and Krajcik, J.S. (2017). The Impact of Using Coherent Curriculum on Students’ Understanding of Core Ideas in Chemistry. </w:t>
      </w:r>
      <w:r w:rsidRPr="00417B52">
        <w:rPr>
          <w:rFonts w:ascii="Arial" w:hAnsi="Arial" w:cs="Arial"/>
          <w:bCs/>
          <w:iCs/>
          <w:noProof/>
          <w:color w:val="000000" w:themeColor="text1"/>
          <w:lang w:val="en-US" w:eastAsia="en-GB"/>
        </w:rPr>
        <w:t>International Journal of Science and Mathematics Education</w:t>
      </w:r>
      <w:r w:rsidRPr="00417B52">
        <w:rPr>
          <w:rFonts w:ascii="Arial" w:hAnsi="Arial" w:cs="Arial"/>
          <w:bCs/>
          <w:noProof/>
          <w:color w:val="000000" w:themeColor="text1"/>
          <w:lang w:val="en-US" w:eastAsia="en-GB"/>
        </w:rPr>
        <w:t>, 17(2), pp.295–315. doi:https://doi.org/10.1007/s10763-017-9861-z.</w:t>
      </w:r>
    </w:p>
    <w:p w:rsidR="009502C8" w:rsidRPr="00417B52" w:rsidRDefault="009502C8" w:rsidP="007E0935">
      <w:pPr>
        <w:spacing w:before="120" w:line="360" w:lineRule="auto"/>
        <w:rPr>
          <w:rFonts w:ascii="Arial" w:hAnsi="Arial" w:cs="Arial"/>
          <w:bCs/>
          <w:noProof/>
          <w:color w:val="000000" w:themeColor="text1"/>
          <w:lang w:val="en-US" w:eastAsia="en-GB"/>
        </w:rPr>
      </w:pPr>
    </w:p>
    <w:p w:rsidR="00CF61E3" w:rsidRPr="00417B52" w:rsidRDefault="00CF61E3" w:rsidP="009502C8">
      <w:pPr>
        <w:spacing w:before="120" w:line="360" w:lineRule="auto"/>
        <w:rPr>
          <w:rFonts w:ascii="Arial" w:hAnsi="Arial" w:cs="Arial"/>
          <w:bCs/>
          <w:noProof/>
          <w:color w:val="000000" w:themeColor="text1"/>
          <w:lang w:val="en-US" w:eastAsia="en-GB"/>
        </w:rPr>
      </w:pPr>
      <w:r w:rsidRPr="00417B52">
        <w:rPr>
          <w:rFonts w:ascii="Arial" w:hAnsi="Arial" w:cs="Arial"/>
          <w:bCs/>
          <w:noProof/>
          <w:color w:val="000000" w:themeColor="text1"/>
          <w:lang w:val="en-US" w:eastAsia="en-GB"/>
        </w:rPr>
        <w:t xml:space="preserve">Trinter, C.P. and Hughes, H.E. (2021). Teachers as Curriculum Designers: Inviting Teachers into the Productive Struggle. </w:t>
      </w:r>
      <w:r w:rsidRPr="00417B52">
        <w:rPr>
          <w:rFonts w:ascii="Arial" w:hAnsi="Arial" w:cs="Arial"/>
          <w:bCs/>
          <w:iCs/>
          <w:noProof/>
          <w:color w:val="000000" w:themeColor="text1"/>
          <w:lang w:val="en-US" w:eastAsia="en-GB"/>
        </w:rPr>
        <w:t>RMLE Online</w:t>
      </w:r>
      <w:r w:rsidRPr="00417B52">
        <w:rPr>
          <w:rFonts w:ascii="Arial" w:hAnsi="Arial" w:cs="Arial"/>
          <w:bCs/>
          <w:noProof/>
          <w:color w:val="000000" w:themeColor="text1"/>
          <w:lang w:val="en-US" w:eastAsia="en-GB"/>
        </w:rPr>
        <w:t>, 44(3), pp.1–16. doi:https://doi.org/10.1080/19404476.2021.1878417.</w:t>
      </w:r>
    </w:p>
    <w:sectPr w:rsidR="00CF61E3" w:rsidRPr="00417B52">
      <w:footerReference w:type="even"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C6C4E" w:rsidRDefault="00DC6C4E" w:rsidP="003658C7">
      <w:r>
        <w:separator/>
      </w:r>
    </w:p>
  </w:endnote>
  <w:endnote w:type="continuationSeparator" w:id="0">
    <w:p w:rsidR="00DC6C4E" w:rsidRDefault="00DC6C4E" w:rsidP="003658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91887353"/>
      <w:docPartObj>
        <w:docPartGallery w:val="Page Numbers (Bottom of Page)"/>
        <w:docPartUnique/>
      </w:docPartObj>
    </w:sdtPr>
    <w:sdtContent>
      <w:p w:rsidR="003658C7" w:rsidRDefault="003658C7" w:rsidP="00066A3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3658C7" w:rsidRDefault="003658C7" w:rsidP="003658C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86949692"/>
      <w:docPartObj>
        <w:docPartGallery w:val="Page Numbers (Bottom of Page)"/>
        <w:docPartUnique/>
      </w:docPartObj>
    </w:sdtPr>
    <w:sdtContent>
      <w:p w:rsidR="003658C7" w:rsidRDefault="003658C7" w:rsidP="00066A3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rsidR="003658C7" w:rsidRDefault="003658C7" w:rsidP="003658C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C6C4E" w:rsidRDefault="00DC6C4E" w:rsidP="003658C7">
      <w:r>
        <w:separator/>
      </w:r>
    </w:p>
  </w:footnote>
  <w:footnote w:type="continuationSeparator" w:id="0">
    <w:p w:rsidR="00DC6C4E" w:rsidRDefault="00DC6C4E" w:rsidP="003658C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202"/>
    <w:rsid w:val="000E69D7"/>
    <w:rsid w:val="00142C6D"/>
    <w:rsid w:val="002222EF"/>
    <w:rsid w:val="003658C7"/>
    <w:rsid w:val="00417B52"/>
    <w:rsid w:val="004510D2"/>
    <w:rsid w:val="004F526A"/>
    <w:rsid w:val="00500C86"/>
    <w:rsid w:val="005B3DFE"/>
    <w:rsid w:val="005B7202"/>
    <w:rsid w:val="005C7B11"/>
    <w:rsid w:val="00746B84"/>
    <w:rsid w:val="007E0935"/>
    <w:rsid w:val="00877A23"/>
    <w:rsid w:val="009502C8"/>
    <w:rsid w:val="009B20B2"/>
    <w:rsid w:val="00AE4706"/>
    <w:rsid w:val="00C0112E"/>
    <w:rsid w:val="00C30EFC"/>
    <w:rsid w:val="00CB05AD"/>
    <w:rsid w:val="00CF2A1C"/>
    <w:rsid w:val="00CF61E3"/>
    <w:rsid w:val="00DC6C4E"/>
    <w:rsid w:val="00E0026E"/>
    <w:rsid w:val="00E215A2"/>
    <w:rsid w:val="00EF794E"/>
    <w:rsid w:val="00F01F84"/>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2B621851-C0B9-CA43-944E-140F824F7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3658C7"/>
    <w:pPr>
      <w:tabs>
        <w:tab w:val="center" w:pos="4680"/>
        <w:tab w:val="right" w:pos="9360"/>
      </w:tabs>
    </w:pPr>
  </w:style>
  <w:style w:type="character" w:customStyle="1" w:styleId="FooterChar">
    <w:name w:val="Footer Char"/>
    <w:basedOn w:val="DefaultParagraphFont"/>
    <w:link w:val="Footer"/>
    <w:uiPriority w:val="99"/>
    <w:rsid w:val="003658C7"/>
  </w:style>
  <w:style w:type="character" w:styleId="PageNumber">
    <w:name w:val="page number"/>
    <w:basedOn w:val="DefaultParagraphFont"/>
    <w:uiPriority w:val="99"/>
    <w:semiHidden/>
    <w:unhideWhenUsed/>
    <w:rsid w:val="003658C7"/>
  </w:style>
  <w:style w:type="paragraph" w:styleId="NormalWeb">
    <w:name w:val="Normal (Web)"/>
    <w:basedOn w:val="Normal"/>
    <w:uiPriority w:val="99"/>
    <w:unhideWhenUsed/>
    <w:rsid w:val="009502C8"/>
    <w:pPr>
      <w:spacing w:before="100" w:beforeAutospacing="1" w:after="100" w:afterAutospacing="1"/>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9502C8"/>
    <w:rPr>
      <w:color w:val="0563C1" w:themeColor="hyperlink"/>
      <w:u w:val="single"/>
    </w:rPr>
  </w:style>
  <w:style w:type="character" w:styleId="UnresolvedMention">
    <w:name w:val="Unresolved Mention"/>
    <w:basedOn w:val="DefaultParagraphFont"/>
    <w:uiPriority w:val="99"/>
    <w:semiHidden/>
    <w:unhideWhenUsed/>
    <w:rsid w:val="009502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284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ambridge-community.org.uk/professional-development/gswmeta/index.html"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3</Pages>
  <Words>831</Words>
  <Characters>5122</Characters>
  <Application>Microsoft Office Word</Application>
  <DocSecurity>0</DocSecurity>
  <Lines>72</Lines>
  <Paragraphs>4</Paragraphs>
  <ScaleCrop>false</ScaleCrop>
  <Company/>
  <LinksUpToDate>false</LinksUpToDate>
  <CharactersWithSpaces>5949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Sisi Gao</dc:creator>
  <cp:keywords/>
  <dc:description/>
  <cp:lastModifiedBy>Sisi Gao</cp:lastModifiedBy>
  <cp:revision>15</cp:revision>
  <dcterms:created xsi:type="dcterms:W3CDTF">2025-01-04T15:57:00Z</dcterms:created>
  <dcterms:modified xsi:type="dcterms:W3CDTF">2025-02-25T02:13:00Z</dcterms:modified>
</cp:coreProperties>
</file>