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b/>
          <w:bCs/>
          <w:sz w:val="48"/>
          <w:szCs w:val="48"/>
        </w:rPr>
        <w:t xml:space="preserve">Literature Review and Differentiation Analysis</w:t>
      </w:r>
    </w:p>
    <w:p>
      <w:pPr>
        <w:spacing w:after="600"/>
        <w:jc w:val="center"/>
      </w:pPr>
      <w:r>
        <w:rPr>
          <w:color w:val="444444"/>
          <w:sz w:val="28"/>
          <w:szCs w:val="28"/>
        </w:rPr>
        <w:t xml:space="preserve">A Privacy-Preserving Agentic AI Assistant for Parametric CAD</w:t>
      </w:r>
    </w:p>
    <w:p>
      <w:pPr>
        <w:spacing w:after="200"/>
        <w:jc w:val="center"/>
      </w:pPr>
      <w:r>
        <w:rPr>
          <w:sz w:val="24"/>
          <w:szCs w:val="24"/>
        </w:rPr>
        <w:t xml:space="preserve">Master’s Major Project — Supporting Document</w:t>
      </w:r>
    </w:p>
    <w:p>
      <w:pPr>
        <w:spacing w:after="200"/>
        <w:jc w:val="center"/>
      </w:pPr>
      <w:r>
        <w:rPr>
          <w:color w:val="666666"/>
          <w:sz w:val="24"/>
          <w:szCs w:val="24"/>
        </w:rPr>
        <w:t xml:space="preserve">June 2026</w:t>
      </w:r>
    </w:p>
    <w:p>
      <w:r>
        <w:br w:type="page"/>
      </w:r>
    </w:p>
    <w:p>
      <w:pPr>
        <w:spacing w:after="200"/>
      </w:pPr>
      <w:r>
        <w:rPr>
          <w:b/>
          <w:bCs/>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Scope and Method of the Review</w:t>
      </w:r>
    </w:p>
    <w:p>
      <w:pPr>
        <w:spacing w:after="160" w:line="300"/>
        <w:jc w:val="both"/>
      </w:pPr>
      <w:r>
        <w:t xml:space="preserve">This document surveys the research and products most relevant to the proposed agentic CAD assistant, and then states precisely how the project differs from them and what it can realistically achieve in a 40-day window. The aim is twofold: to ground the project in the existing literature for the thesis, and to give an honest account of prior art so that the contribution is framed defensibly rather than overstated.</w:t>
      </w:r>
    </w:p>
    <w:p>
      <w:pPr>
        <w:spacing w:after="160" w:line="300"/>
        <w:jc w:val="both"/>
      </w:pPr>
      <w:r>
        <w:t xml:space="preserve">The review is organised into four themes that trace the field’s evolution: (1) learned generative CAD models, which train neural networks to emit construction sequences; (2) training-free LLM code generation for CAD; (3) agentic CAD frameworks, the project’s immediate neighbourhood; and (4) the agent-systems foundations on which the design draws. A separate section catalogues existing open-source integrations and commercial products. The closing sections give a structured differentiation analysis, a feature-comparison table, and a realistic assessment of achievable outcomes.</w:t>
      </w:r>
    </w:p>
    <w:p>
      <w:pPr>
        <w:spacing w:after="160" w:line="300"/>
        <w:jc w:val="both"/>
      </w:pPr>
      <w:r>
        <w:rPr>
          <w:b/>
          <w:bCs/>
        </w:rPr>
        <w:t xml:space="preserve">A candid framing up front. </w:t>
      </w:r>
      <w:r>
        <w:t xml:space="preserve">Every individual ingredient of this project — natural-language CAD control, FreeCAD scripting through an agent, MCP-to-CAD bridging, and visual-feedback loops — already exists somewhere in the literature or in shipped products. The contribution of this work is therefore not any single mechanism but their integration under three commitments that no existing system satisfies together: architectural (not merely contractual) privacy, a human-in-the-loop plan-confirm-execute protocol treated as a first-class object, and rigorous quantitative evaluation under local-model constraints.</w:t>
      </w:r>
    </w:p>
    <w:p>
      <w:pPr>
        <w:pStyle w:val="Heading1"/>
      </w:pPr>
      <w:r>
        <w:t xml:space="preserve">2. Theme 1 — Learned Generative CAD Models</w:t>
      </w:r>
    </w:p>
    <w:p>
      <w:pPr>
        <w:spacing w:after="160" w:line="300"/>
        <w:jc w:val="both"/>
      </w:pPr>
      <w:r>
        <w:t xml:space="preserve">The first wave of AI-for-CAD research trains neural networks to generate parametric CAD construction sequences directly, rather than calling a CAD tool. This lineage defines the datasets and complexity benchmarks the whole field still uses.</w:t>
      </w:r>
    </w:p>
    <w:p>
      <w:pPr>
        <w:pStyle w:val="ListParagraph"/>
        <w:numPr>
          <w:ilvl w:val="0"/>
          <w:numId w:val="2"/>
        </w:numPr>
        <w:spacing w:after="90" w:line="290"/>
        <w:jc w:val="both"/>
      </w:pPr>
      <w:r>
        <w:rPr>
          <w:b/>
          <w:bCs/>
        </w:rPr>
        <w:t xml:space="preserve">DeepCAD (Wu, Xiao &amp; Zheng, ICCV 2021). </w:t>
      </w:r>
      <w:r>
        <w:t xml:space="preserve">A deep generative network for CAD models that represents a design as a sequence of modelling operations (sketch and extrude). It established the dominant representation — design history as procedural instructions — and the most widely reused dataset in the field.</w:t>
      </w:r>
    </w:p>
    <w:p>
      <w:pPr>
        <w:pStyle w:val="ListParagraph"/>
        <w:numPr>
          <w:ilvl w:val="0"/>
          <w:numId w:val="2"/>
        </w:numPr>
        <w:spacing w:after="90" w:line="290"/>
        <w:jc w:val="both"/>
      </w:pPr>
      <w:r>
        <w:rPr>
          <w:b/>
          <w:bCs/>
        </w:rPr>
        <w:t xml:space="preserve">Fusion 360 Gallery (Willis et al., ACM TOG 2021). </w:t>
      </w:r>
      <w:r>
        <w:t xml:space="preserve">A dataset and environment for programmatic CAD construction derived from real human design sequences, supplying paired construction-sequence data that later text-to-CAD work depends upon.</w:t>
      </w:r>
    </w:p>
    <w:p>
      <w:pPr>
        <w:pStyle w:val="ListParagraph"/>
        <w:numPr>
          <w:ilvl w:val="0"/>
          <w:numId w:val="2"/>
        </w:numPr>
        <w:spacing w:after="90" w:line="290"/>
        <w:jc w:val="both"/>
      </w:pPr>
      <w:r>
        <w:rPr>
          <w:b/>
          <w:bCs/>
        </w:rPr>
        <w:t xml:space="preserve">Text2CAD (Khan et al., NeurIPS 2024). </w:t>
      </w:r>
      <w:r>
        <w:t xml:space="preserve">The first AI framework to generate parametric CAD construction sequences from natural-language prompts spanning beginner to expert detail. Because no text-to-CAD dataset existed, the authors built an annotation pipeline using LLMs and vision-language models over the DeepCAD dataset. They explicitly report that off-the-shelf VLMs perform poorly at deducing construction sequences, motivating purpose-built training.</w:t>
      </w:r>
    </w:p>
    <w:p>
      <w:pPr>
        <w:pStyle w:val="ListParagraph"/>
        <w:numPr>
          <w:ilvl w:val="0"/>
          <w:numId w:val="2"/>
        </w:numPr>
        <w:spacing w:after="90" w:line="290"/>
        <w:jc w:val="both"/>
      </w:pPr>
      <w:r>
        <w:rPr>
          <w:b/>
          <w:bCs/>
        </w:rPr>
        <w:t xml:space="preserve">Multimodal and spatial extensions. </w:t>
      </w:r>
      <w:r>
        <w:t xml:space="preserve">CAD-GPT (AAAI 2025) synthesises construction sequences with spatial-reasoning-enhanced multimodal LLMs; CAD-MLLM unifies multimodality-conditioned generation; CadVLM (ECCV 2024) bridges language and vision for parametric sketches; CAD-Llama (CVPR 2025) adapts an LLM for parametric 3D generation; and cadrille (2025) performs multi-modal CAD reconstruction with reinforcement learning.</w:t>
      </w:r>
    </w:p>
    <w:p>
      <w:pPr>
        <w:spacing w:after="160" w:line="300"/>
        <w:jc w:val="both"/>
      </w:pPr>
      <w:r>
        <w:rPr>
          <w:b/>
          <w:bCs/>
        </w:rPr>
        <w:t xml:space="preserve">Relevance to this project. </w:t>
      </w:r>
      <w:r>
        <w:t xml:space="preserve">This theme is primarily a contrast class. These systems require curated training data and fine-tuning, generate in a single shot without a human checkpoint, and operate outside any interactive CAD application. The proposed project deliberately occupies the opposite corner of the design space: no training, an in-application interactive loop, and a mandatory confirmation step. Their datasets, however, define a useful complexity yardstick — the project targets roughly the same band of part complexity (prismatic parts, holes, patterns, fillets, revolved features).</w:t>
      </w:r>
    </w:p>
    <w:p>
      <w:pPr>
        <w:pStyle w:val="Heading1"/>
      </w:pPr>
      <w:r>
        <w:t xml:space="preserve">3. Theme 2 — Training-Free LLM Code Generation for CAD</w:t>
      </w:r>
    </w:p>
    <w:p>
      <w:pPr>
        <w:spacing w:after="160" w:line="300"/>
        <w:jc w:val="both"/>
      </w:pPr>
      <w:r>
        <w:t xml:space="preserve">The second theme abandons bespoke model training and instead prompts general-purpose LLMs to emit executable CAD code or scripts — the approach closest to this project’s tool-calling strategy.</w:t>
      </w:r>
    </w:p>
    <w:p>
      <w:pPr>
        <w:pStyle w:val="ListParagraph"/>
        <w:numPr>
          <w:ilvl w:val="0"/>
          <w:numId w:val="2"/>
        </w:numPr>
        <w:spacing w:after="90" w:line="290"/>
        <w:jc w:val="both"/>
      </w:pPr>
      <w:r>
        <w:rPr>
          <w:b/>
          <w:bCs/>
        </w:rPr>
        <w:t xml:space="preserve">Query2CAD (Badagabettu, Yarlagadda &amp; Farimani, 2024). </w:t>
      </w:r>
      <w:r>
        <w:t xml:space="preserve">Demonstrates that general-purpose models such as GPT-4 can generate executable FreeCAD macros directly from natural-language queries, with an iterative refinement loop. This is the nearest precedent for driving FreeCAD specifically from an LLM.</w:t>
      </w:r>
    </w:p>
    <w:p>
      <w:pPr>
        <w:pStyle w:val="ListParagraph"/>
        <w:numPr>
          <w:ilvl w:val="0"/>
          <w:numId w:val="2"/>
        </w:numPr>
        <w:spacing w:after="90" w:line="290"/>
        <w:jc w:val="both"/>
      </w:pPr>
      <w:r>
        <w:rPr>
          <w:b/>
          <w:bCs/>
        </w:rPr>
        <w:t xml:space="preserve">Text-to-CadQuery (Xie &amp; Ju, 2025). </w:t>
      </w:r>
      <w:r>
        <w:t xml:space="preserve">Proposes generating CAD through the CadQuery Python scripting language so that the task exploits LLMs’ strong code abilities; reports that scaling model capability improves results without task-specific architecture.</w:t>
      </w:r>
    </w:p>
    <w:p>
      <w:pPr>
        <w:pStyle w:val="ListParagraph"/>
        <w:numPr>
          <w:ilvl w:val="0"/>
          <w:numId w:val="2"/>
        </w:numPr>
        <w:spacing w:after="90" w:line="290"/>
        <w:jc w:val="both"/>
      </w:pPr>
      <w:r>
        <w:rPr>
          <w:b/>
          <w:bCs/>
        </w:rPr>
        <w:t xml:space="preserve">Seek-CAD (Li et al., 2025). </w:t>
      </w:r>
      <w:r>
        <w:t xml:space="preserve">Especially relevant: a self-refined generative CAD approach that runs local inference via a DeepSeek model. It is the closest published precedent for the local-LLM stance adopted here, though it remains a generation method rather than an integrated, tool-using assistant.</w:t>
      </w:r>
    </w:p>
    <w:p>
      <w:pPr>
        <w:pStyle w:val="ListParagraph"/>
        <w:numPr>
          <w:ilvl w:val="0"/>
          <w:numId w:val="2"/>
        </w:numPr>
        <w:spacing w:after="90" w:line="290"/>
        <w:jc w:val="both"/>
      </w:pPr>
      <w:r>
        <w:rPr>
          <w:b/>
          <w:bCs/>
        </w:rPr>
        <w:t xml:space="preserve">STEP-LLM (2026). </w:t>
      </w:r>
      <w:r>
        <w:t xml:space="preserve">Generates CAD STEP models from natural language, fine-tuning on B-rep models exported to STEP from the ABC dataset, with multi-view renders captioned by a frontier model.</w:t>
      </w:r>
    </w:p>
    <w:p>
      <w:pPr>
        <w:spacing w:after="160" w:line="300"/>
        <w:jc w:val="both"/>
      </w:pPr>
      <w:r>
        <w:rPr>
          <w:b/>
          <w:bCs/>
        </w:rPr>
        <w:t xml:space="preserve">Relevance. </w:t>
      </w:r>
      <w:r>
        <w:t xml:space="preserve">These works validate the core premise — that LLMs can produce executable CAD — and supply baseline techniques (script generation, self-refinement). They differ from the project in that they generate code in isolation, lack a structured user-facing plan and approval step, and (apart from Seek-CAD) assume cloud frontier models.</w:t>
      </w:r>
    </w:p>
    <w:p>
      <w:pPr>
        <w:pStyle w:val="Heading1"/>
      </w:pPr>
      <w:r>
        <w:t xml:space="preserve">4. Theme 3 — Agentic CAD Frameworks (Direct Neighbourhood)</w:t>
      </w:r>
    </w:p>
    <w:p>
      <w:pPr>
        <w:spacing w:after="160" w:line="300"/>
        <w:jc w:val="both"/>
      </w:pPr>
      <w:r>
        <w:t xml:space="preserve">The most recent and most directly comparable work wraps LLMs in agent workflows with tools, feedback, and memory. Three systems should anchor the thesis’s related-work chapter.</w:t>
      </w:r>
    </w:p>
    <w:p>
      <w:pPr>
        <w:pStyle w:val="Heading2"/>
      </w:pPr>
      <w:r>
        <w:t xml:space="preserve">4.1 LLM-agent framework for automated CAD generation (ICED 2025)</w:t>
      </w:r>
    </w:p>
    <w:p>
      <w:pPr>
        <w:spacing w:after="160" w:line="300"/>
        <w:jc w:val="both"/>
      </w:pPr>
      <w:r>
        <w:t xml:space="preserve">This framework automates CAD geometry generation using LLMs with function calling and agent workflows, evaluated across five LLMs and four workflow variants. Its central empirical finding is that the workflow incorporating automated visual feedback outperforms the others, particularly with multimodal models. The authors document persistent challenges in spatial reasoning, prompt dependency, and workflow adaptability, and they cite evidence that LLMs deviate substantially when prompts contain non-essential information. These findings are the published justification for inserting a human confirmation checkpoint rather than relying on autonomous self-critique alone.</w:t>
      </w:r>
    </w:p>
    <w:p>
      <w:pPr>
        <w:pStyle w:val="Heading2"/>
      </w:pPr>
      <w:r>
        <w:t xml:space="preserve">4.2 CADDesigner (2025)</w:t>
      </w:r>
    </w:p>
    <w:p>
      <w:pPr>
        <w:spacing w:after="160" w:line="300"/>
        <w:jc w:val="both"/>
      </w:pPr>
      <w:r>
        <w:t xml:space="preserve">CADDesigner is an LLM-powered agent for conceptual CAD design that accepts text and freehand sketches, refines requirements through interactive dialogue, uses iterative visual feedback during generation, and stores generated design cases in a structured knowledge base for continuous improvement. It introduces fine-grained error handling at nearly the level of each atomic operation: each failure produces a structured diagnostic message with likely causes and suggested fixes, so that errors carry actionable repair signals for the model rather than raw exceptions. This per-operation diagnostic design is close in spirit to the project’s per-step kernel-validation-and-retry loop and must be cited and differentiated carefully — the distinction is that CADDesigner’s knowledge base stores prior design cases, whereas the proposed toolroom synthesises and registers new executable capabilities, and the proposed confirmation step gates execution before any geometry is committed.</w:t>
      </w:r>
    </w:p>
    <w:p>
      <w:pPr>
        <w:pStyle w:val="Heading2"/>
      </w:pPr>
      <w:r>
        <w:t xml:space="preserve">4.3 CADSmith and related multi-agent work (2026)</w:t>
      </w:r>
    </w:p>
    <w:p>
      <w:pPr>
        <w:spacing w:after="160" w:line="300"/>
        <w:jc w:val="both"/>
      </w:pPr>
      <w:r>
        <w:t xml:space="preserve">CADSmith performs multi-agent CAD generation with programmatic geometric validation, reflecting a broader 2025–26 trend toward decomposing the task across cooperating agents and validating outputs programmatically. It reinforces the value of geometric validation as a correctness signal — a principle this project adopts through kernel recompute checks and geometry sanity rules — while differing in its fully autonomous, multi-agent orientation versus the project’s single planner with a human in the loop.</w:t>
      </w:r>
    </w:p>
    <w:p>
      <w:pPr>
        <w:pStyle w:val="Heading1"/>
      </w:pPr>
      <w:r>
        <w:t xml:space="preserve">5. Theme 4 — Agent-Systems Foundations</w:t>
      </w:r>
    </w:p>
    <w:p>
      <w:pPr>
        <w:spacing w:after="160" w:line="300"/>
        <w:jc w:val="both"/>
      </w:pPr>
      <w:r>
        <w:t xml:space="preserve">The agent layer draws on established techniques from the broader LLM-agent literature, which the thesis cites to justify each mechanism:</w:t>
      </w:r>
    </w:p>
    <w:p>
      <w:pPr>
        <w:pStyle w:val="ListParagraph"/>
        <w:numPr>
          <w:ilvl w:val="0"/>
          <w:numId w:val="2"/>
        </w:numPr>
        <w:spacing w:after="90" w:line="290"/>
        <w:jc w:val="both"/>
      </w:pPr>
      <w:r>
        <w:rPr>
          <w:b/>
          <w:bCs/>
        </w:rPr>
        <w:t xml:space="preserve">ReAct (Yao et al., ICLR 2023) </w:t>
      </w:r>
      <w:r>
        <w:t xml:space="preserve">— interleaving reasoning and tool actions; the basic agent loop.</w:t>
      </w:r>
    </w:p>
    <w:p>
      <w:pPr>
        <w:pStyle w:val="ListParagraph"/>
        <w:numPr>
          <w:ilvl w:val="0"/>
          <w:numId w:val="2"/>
        </w:numPr>
        <w:spacing w:after="90" w:line="290"/>
        <w:jc w:val="both"/>
      </w:pPr>
      <w:r>
        <w:rPr>
          <w:b/>
          <w:bCs/>
        </w:rPr>
        <w:t xml:space="preserve">Reflexion (Shinn et al., NeurIPS 2023) </w:t>
      </w:r>
      <w:r>
        <w:t xml:space="preserve">— verbal self-reflection on failures, stored and re-injected; the basis for memory-driven improvement without weight updates.</w:t>
      </w:r>
    </w:p>
    <w:p>
      <w:pPr>
        <w:pStyle w:val="ListParagraph"/>
        <w:numPr>
          <w:ilvl w:val="0"/>
          <w:numId w:val="2"/>
        </w:numPr>
        <w:spacing w:after="90" w:line="290"/>
        <w:jc w:val="both"/>
      </w:pPr>
      <w:r>
        <w:rPr>
          <w:b/>
          <w:bCs/>
        </w:rPr>
        <w:t xml:space="preserve">Self-Refine (Madaan et al., NeurIPS 2023) </w:t>
      </w:r>
      <w:r>
        <w:t xml:space="preserve">— iterative refinement with self-feedback; informs the per-step repair loop.</w:t>
      </w:r>
    </w:p>
    <w:p>
      <w:pPr>
        <w:pStyle w:val="ListParagraph"/>
        <w:numPr>
          <w:ilvl w:val="0"/>
          <w:numId w:val="2"/>
        </w:numPr>
        <w:spacing w:after="90" w:line="290"/>
        <w:jc w:val="both"/>
      </w:pPr>
      <w:r>
        <w:rPr>
          <w:b/>
          <w:bCs/>
        </w:rPr>
        <w:t xml:space="preserve">Voyager (Wang et al., 2023) </w:t>
      </w:r>
      <w:r>
        <w:t xml:space="preserve">— lifelong skill acquisition by writing, verifying, and accumulating reusable code; the direct inspiration for the toolroom.</w:t>
      </w:r>
    </w:p>
    <w:p>
      <w:pPr>
        <w:pStyle w:val="ListParagraph"/>
        <w:numPr>
          <w:ilvl w:val="0"/>
          <w:numId w:val="2"/>
        </w:numPr>
        <w:spacing w:after="90" w:line="290"/>
        <w:jc w:val="both"/>
      </w:pPr>
      <w:r>
        <w:rPr>
          <w:b/>
          <w:bCs/>
        </w:rPr>
        <w:t xml:space="preserve">Generative Agents (Park et al., UIST 2023) </w:t>
      </w:r>
      <w:r>
        <w:t xml:space="preserve">— a memory stream with reflection and relevance-weighted retrieval; the model for memory consolidation.</w:t>
      </w:r>
    </w:p>
    <w:p>
      <w:pPr>
        <w:pStyle w:val="ListParagraph"/>
        <w:numPr>
          <w:ilvl w:val="0"/>
          <w:numId w:val="2"/>
        </w:numPr>
        <w:spacing w:after="90" w:line="290"/>
        <w:jc w:val="both"/>
      </w:pPr>
      <w:r>
        <w:rPr>
          <w:b/>
          <w:bCs/>
        </w:rPr>
        <w:t xml:space="preserve">Toolformer (Schick et al., NeurIPS 2023) and RAG (Lewis et al., 2020) </w:t>
      </w:r>
      <w:r>
        <w:t xml:space="preserve">— tool-use learning and retrieval-augmented generation; underpin the MCP tool layer and lesson-card retrieval respectively.</w:t>
      </w:r>
    </w:p>
    <w:p>
      <w:pPr>
        <w:pStyle w:val="ListParagraph"/>
        <w:numPr>
          <w:ilvl w:val="0"/>
          <w:numId w:val="2"/>
        </w:numPr>
        <w:spacing w:after="90" w:line="290"/>
        <w:jc w:val="both"/>
      </w:pPr>
      <w:r>
        <w:rPr>
          <w:b/>
          <w:bCs/>
        </w:rPr>
        <w:t xml:space="preserve">Surveys. </w:t>
      </w:r>
      <w:r>
        <w:t xml:space="preserve">Heidari &amp; Iosifidis, “Geometric Deep Learning for CAD: A Survey” (2024), frames Theme 1; Ji et al., “Survey of Hallucination in NLG” (2023), frames the reliability problem the confirmation step addresses.</w:t>
      </w:r>
    </w:p>
    <w:p>
      <w:pPr>
        <w:pStyle w:val="Heading1"/>
      </w:pPr>
      <w:r>
        <w:t xml:space="preserve">6. Existing Implementations and Products</w:t>
      </w:r>
    </w:p>
    <w:p>
      <w:pPr>
        <w:pStyle w:val="Heading2"/>
      </w:pPr>
      <w:r>
        <w:t xml:space="preserve">6.1 Open-source FreeCAD + MCP integrations</w:t>
      </w:r>
    </w:p>
    <w:p>
      <w:pPr>
        <w:spacing w:after="160" w:line="300"/>
        <w:jc w:val="both"/>
      </w:pPr>
      <w:r>
        <w:t xml:space="preserve">It is important to disclose that FreeCAD-plus-MCP integrations already exist on GitHub, and the project should build on and cite them rather than claim the plumbing as novel. Notable examples include neka-nat/freecad-mcp, contextform/freecad-mcp, and bonninr/freecad_mcp (thin bridges exposing FreeCAD’s API to Claude over MCP); proximile/FreeCAD-MCP, which provides 57 MCP tools with Docker-containerised headless execution and vision-AI analysis; and theosib’s server, which emphasises rich runtime-state extraction — document structure, object properties, shape topology, and sketch constraint health. These projects are overwhelmingly thin tool bridges driven by cloud frontier models through Claude Desktop. None of them provides a planner, a plan-confirmation protocol, integrated simulation, a memory subsystem, or a local-only privacy guarantee. They are therefore best treated as an accelerant for the early implementation weeks (studying their tool designs and optionally extending one) and as a baseline the project clearly surpasses.</w:t>
      </w:r>
    </w:p>
    <w:p>
      <w:pPr>
        <w:pStyle w:val="Heading2"/>
      </w:pPr>
      <w:r>
        <w:t xml:space="preserve">6.2 Commercial AI-CAD products (2026)</w:t>
      </w:r>
    </w:p>
    <w:p>
      <w:pPr>
        <w:spacing w:after="160" w:line="300"/>
        <w:jc w:val="both"/>
      </w:pPr>
      <w:r>
        <w:t xml:space="preserve">The commercial landscape moved quickly in 2025–26. Zoo (Design Studio / KittyCAD) converts natural-language prompts into precise, editable B-Rep models on a proprietary geometry kernel. AdamCAD (Y Combinator W25, USD 4.1M seed) positions a conversational copilot that generates parametric geometry from text, with companion plugins for Fusion 360, SolidWorks, and Onshape. MecAgent operates inside existing CAD environments, turning multi-click workflows into prompt-based actions. Every major incumbent now ships an assistant — Onshape’s AI Advisor, Siemens’ Design Copilot for Solid Edge and NX, Autodesk Assistant for Fusion, and Dassault’s Aura. These tools are more capable at raw generation than any 40-day prototype can be, but they share two properties the project does not: they are cloud services, and their privacy posture is contractual — zero-retention policies, SOC 2 compliance, and private-tenant deployments — rather than architectural. A fully local system that can be verified offline occupies a genuinely different and defensible point in the design space.</w:t>
      </w:r>
    </w:p>
    <w:p>
      <w:pPr>
        <w:pStyle w:val="Heading1"/>
      </w:pPr>
      <w:r>
        <w:t xml:space="preserve">7. Differentiation Analysis</w:t>
      </w:r>
    </w:p>
    <w:p>
      <w:pPr>
        <w:spacing w:after="160" w:line="300"/>
        <w:jc w:val="both"/>
      </w:pPr>
      <w:r>
        <w:rPr>
          <w:b/>
          <w:bCs/>
        </w:rPr>
        <w:t xml:space="preserve">Not claimed as novel. </w:t>
      </w:r>
      <w:r>
        <w:t xml:space="preserve">To stay credible, the project does not claim novelty for natural-language CAD control, FreeCAD scripting via an agent, MCP-to-FreeCAD bridging, visual-feedback loops, or text-to-CAD in general. Each has clear precedents above.</w:t>
      </w:r>
    </w:p>
    <w:p>
      <w:pPr>
        <w:spacing w:after="160" w:line="300"/>
        <w:jc w:val="both"/>
      </w:pPr>
      <w:r>
        <w:rPr>
          <w:b/>
          <w:bCs/>
        </w:rPr>
        <w:t xml:space="preserve">Defensible differentiators, in approximate order of strength:</w:t>
      </w:r>
    </w:p>
    <w:p>
      <w:pPr>
        <w:pStyle w:val="ListParagraph"/>
        <w:numPr>
          <w:ilvl w:val="0"/>
          <w:numId w:val="3"/>
        </w:numPr>
        <w:spacing w:after="90" w:line="290"/>
        <w:jc w:val="both"/>
      </w:pPr>
      <w:r>
        <w:rPr>
          <w:b/>
          <w:bCs/>
        </w:rPr>
        <w:t xml:space="preserve">Architectural privacy. </w:t>
      </w:r>
      <w:r>
        <w:t xml:space="preserve">A fully local pipeline — local planner, local vision model, local memory, and offline-verifiable operation — is absent from both the commercial products and almost all academic systems, which evaluate on GPT-4-class cloud models. Seek-CAD is the only close local-inference precedent, and it is a generation method rather than an integrated assistant. Combined with an explicit, auditable opt-in escalation path, this yields a clear and demonstrable claim.</w:t>
      </w:r>
    </w:p>
    <w:p>
      <w:pPr>
        <w:pStyle w:val="ListParagraph"/>
        <w:numPr>
          <w:ilvl w:val="0"/>
          <w:numId w:val="3"/>
        </w:numPr>
        <w:spacing w:after="90" w:line="290"/>
        <w:jc w:val="both"/>
      </w:pPr>
      <w:r>
        <w:rPr>
          <w:b/>
          <w:bCs/>
        </w:rPr>
        <w:t xml:space="preserve">Plan-confirm-execute as a first-class protocol. </w:t>
      </w:r>
      <w:r>
        <w:t xml:space="preserve">Existing systems use automated feedback (render, critique, regenerate). Presenting a structured, user-editable plan with a visual preview before any geometry is committed — and measuring its effect on success rate and on the number of user interventions — is a distinct human-in-the-loop contribution, and the literature’s own findings on LLM spatial-reasoning failure justify it.</w:t>
      </w:r>
    </w:p>
    <w:p>
      <w:pPr>
        <w:pStyle w:val="ListParagraph"/>
        <w:numPr>
          <w:ilvl w:val="0"/>
          <w:numId w:val="3"/>
        </w:numPr>
        <w:spacing w:after="90" w:line="290"/>
        <w:jc w:val="both"/>
      </w:pPr>
      <w:r>
        <w:rPr>
          <w:b/>
          <w:bCs/>
        </w:rPr>
        <w:t xml:space="preserve">Simulation inside the agent loop. </w:t>
      </w:r>
      <w:r>
        <w:t xml:space="preserve">None of the surveyed papers or products integrate FEA or thermal validation as agent-callable tools within the same conversation. Even restricted to linear-static and steady-state cases, this closes a design-validate loop that no comparable system demonstrates.</w:t>
      </w:r>
    </w:p>
    <w:p>
      <w:pPr>
        <w:pStyle w:val="ListParagraph"/>
        <w:numPr>
          <w:ilvl w:val="0"/>
          <w:numId w:val="3"/>
        </w:numPr>
        <w:spacing w:after="90" w:line="290"/>
        <w:jc w:val="both"/>
      </w:pPr>
      <w:r>
        <w:rPr>
          <w:b/>
          <w:bCs/>
        </w:rPr>
        <w:t xml:space="preserve">The toolroom (verified self-extension). </w:t>
      </w:r>
      <w:r>
        <w:t xml:space="preserve">Voyager-style self-extension of the tool catalogue, with static checks, sandboxed testing, and human approval, has no CAD precedent found in this review. CADDesigner’s knowledge base stores design cases; the toolroom instead synthesises new executable capabilities — a different and stronger claim.</w:t>
      </w:r>
    </w:p>
    <w:p>
      <w:pPr>
        <w:pStyle w:val="ListParagraph"/>
        <w:numPr>
          <w:ilvl w:val="0"/>
          <w:numId w:val="3"/>
        </w:numPr>
        <w:spacing w:after="90" w:line="290"/>
        <w:jc w:val="both"/>
      </w:pPr>
      <w:r>
        <w:rPr>
          <w:b/>
          <w:bCs/>
        </w:rPr>
        <w:t xml:space="preserve">Memory consolidation with an ablation. </w:t>
      </w:r>
      <w:r>
        <w:t xml:space="preserve">CADDesigner’s case base is the nearest neighbour. The project’s episodic-to-semantic consolidation with pruning, supersession, and a measured on/off ablation is more principled and more rigorously evaluated.</w:t>
      </w:r>
    </w:p>
    <w:p>
      <w:pPr>
        <w:pStyle w:val="ListParagraph"/>
        <w:numPr>
          <w:ilvl w:val="0"/>
          <w:numId w:val="3"/>
        </w:numPr>
        <w:spacing w:after="90" w:line="290"/>
        <w:jc w:val="both"/>
      </w:pPr>
      <w:r>
        <w:rPr>
          <w:b/>
          <w:bCs/>
        </w:rPr>
        <w:t xml:space="preserve">Evaluation under local-model constraints. </w:t>
      </w:r>
      <w:r>
        <w:t xml:space="preserve">Nearly all published numbers come from GPT-4-class models. A careful study of what a 7–32B local stack can and cannot do in agentic CAD, with an honest failure analysis, is itself a useful empirical contribution.</w:t>
      </w:r>
    </w:p>
    <w:p>
      <w:pPr>
        <w:pStyle w:val="Heading1"/>
      </w:pPr>
      <w:r>
        <w:t xml:space="preserve">8. Feature Comparison</w:t>
      </w:r>
    </w:p>
    <w:p>
      <w:pPr>
        <w:spacing w:after="160" w:line="300"/>
        <w:jc w:val="both"/>
      </w:pPr>
      <w:r>
        <w:t xml:space="preserve">The table below positions the proposed system against representative prior work. The proposed row is the only one with affirmative entries across every column, which is the differentiation argument at a glance. (✓ = present; ✗ = absent; — = partial or not applicable.)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740"/>
        <w:gridCol w:w="980"/>
        <w:gridCol w:w="880"/>
        <w:gridCol w:w="980"/>
        <w:gridCol w:w="940"/>
        <w:gridCol w:w="1020"/>
        <w:gridCol w:w="1020"/>
        <w:gridCol w:w="1240"/>
      </w:tblGrid>
      <w:tr>
        <w:trPr>
          <w:tblHeader/>
        </w:trPr>
        <w:tc>
          <w:tcPr>
            <w:tcW w:type="dxa" w:w="1740"/>
            <w:tcBorders>
              <w:top w:val="single" w:color="BFBFBF" w:sz="1"/>
              <w:left w:val="single" w:color="BFBFBF" w:sz="1"/>
              <w:bottom w:val="single" w:color="BFBFBF" w:sz="1"/>
              <w:right w:val="single" w:color="BFBFBF" w:sz="1"/>
            </w:tcBorders>
            <w:shd w:fill="E8EDF5" w:val="clear"/>
            <w:tcMar>
              <w:top w:type="dxa" w:w="70"/>
              <w:left w:type="dxa" w:w="100"/>
              <w:bottom w:type="dxa" w:w="70"/>
              <w:right w:type="dxa" w:w="100"/>
            </w:tcMar>
            <w:vAlign w:val="center"/>
          </w:tcPr>
          <w:p>
            <w:pPr>
              <w:spacing w:after="30" w:line="250"/>
              <w:jc w:val="center"/>
            </w:pPr>
            <w:r>
              <w:rPr>
                <w:b/>
                <w:bCs/>
                <w:sz w:val="18"/>
                <w:szCs w:val="18"/>
              </w:rPr>
              <w:t xml:space="preserve">System</w:t>
            </w:r>
          </w:p>
        </w:tc>
        <w:tc>
          <w:tcPr>
            <w:tcW w:type="dxa" w:w="980"/>
            <w:tcBorders>
              <w:top w:val="single" w:color="BFBFBF" w:sz="1"/>
              <w:left w:val="single" w:color="BFBFBF" w:sz="1"/>
              <w:bottom w:val="single" w:color="BFBFBF" w:sz="1"/>
              <w:right w:val="single" w:color="BFBFBF" w:sz="1"/>
            </w:tcBorders>
            <w:shd w:fill="E8EDF5" w:val="clear"/>
            <w:tcMar>
              <w:top w:type="dxa" w:w="70"/>
              <w:left w:type="dxa" w:w="100"/>
              <w:bottom w:type="dxa" w:w="70"/>
              <w:right w:type="dxa" w:w="100"/>
            </w:tcMar>
            <w:vAlign w:val="center"/>
          </w:tcPr>
          <w:p>
            <w:pPr>
              <w:spacing w:after="30" w:line="250"/>
              <w:jc w:val="center"/>
            </w:pPr>
            <w:r>
              <w:rPr>
                <w:b/>
                <w:bCs/>
                <w:sz w:val="18"/>
                <w:szCs w:val="18"/>
              </w:rPr>
              <w:t xml:space="preserve">Open CAD platform</w:t>
            </w:r>
          </w:p>
        </w:tc>
        <w:tc>
          <w:tcPr>
            <w:tcW w:type="dxa" w:w="880"/>
            <w:tcBorders>
              <w:top w:val="single" w:color="BFBFBF" w:sz="1"/>
              <w:left w:val="single" w:color="BFBFBF" w:sz="1"/>
              <w:bottom w:val="single" w:color="BFBFBF" w:sz="1"/>
              <w:right w:val="single" w:color="BFBFBF" w:sz="1"/>
            </w:tcBorders>
            <w:shd w:fill="E8EDF5" w:val="clear"/>
            <w:tcMar>
              <w:top w:type="dxa" w:w="70"/>
              <w:left w:type="dxa" w:w="100"/>
              <w:bottom w:type="dxa" w:w="70"/>
              <w:right w:type="dxa" w:w="100"/>
            </w:tcMar>
            <w:vAlign w:val="center"/>
          </w:tcPr>
          <w:p>
            <w:pPr>
              <w:spacing w:after="30" w:line="250"/>
              <w:jc w:val="center"/>
            </w:pPr>
            <w:r>
              <w:rPr>
                <w:b/>
                <w:bCs/>
                <w:sz w:val="18"/>
                <w:szCs w:val="18"/>
              </w:rPr>
              <w:t xml:space="preserve">Local / private</w:t>
            </w:r>
          </w:p>
        </w:tc>
        <w:tc>
          <w:tcPr>
            <w:tcW w:type="dxa" w:w="980"/>
            <w:tcBorders>
              <w:top w:val="single" w:color="BFBFBF" w:sz="1"/>
              <w:left w:val="single" w:color="BFBFBF" w:sz="1"/>
              <w:bottom w:val="single" w:color="BFBFBF" w:sz="1"/>
              <w:right w:val="single" w:color="BFBFBF" w:sz="1"/>
            </w:tcBorders>
            <w:shd w:fill="E8EDF5" w:val="clear"/>
            <w:tcMar>
              <w:top w:type="dxa" w:w="70"/>
              <w:left w:type="dxa" w:w="100"/>
              <w:bottom w:type="dxa" w:w="70"/>
              <w:right w:type="dxa" w:w="100"/>
            </w:tcMar>
            <w:vAlign w:val="center"/>
          </w:tcPr>
          <w:p>
            <w:pPr>
              <w:spacing w:after="30" w:line="250"/>
              <w:jc w:val="center"/>
            </w:pPr>
            <w:r>
              <w:rPr>
                <w:b/>
                <w:bCs/>
                <w:sz w:val="18"/>
                <w:szCs w:val="18"/>
              </w:rPr>
              <w:t xml:space="preserve">Human confirm step</w:t>
            </w:r>
          </w:p>
        </w:tc>
        <w:tc>
          <w:tcPr>
            <w:tcW w:type="dxa" w:w="940"/>
            <w:tcBorders>
              <w:top w:val="single" w:color="BFBFBF" w:sz="1"/>
              <w:left w:val="single" w:color="BFBFBF" w:sz="1"/>
              <w:bottom w:val="single" w:color="BFBFBF" w:sz="1"/>
              <w:right w:val="single" w:color="BFBFBF" w:sz="1"/>
            </w:tcBorders>
            <w:shd w:fill="E8EDF5" w:val="clear"/>
            <w:tcMar>
              <w:top w:type="dxa" w:w="70"/>
              <w:left w:type="dxa" w:w="100"/>
              <w:bottom w:type="dxa" w:w="70"/>
              <w:right w:type="dxa" w:w="100"/>
            </w:tcMar>
            <w:vAlign w:val="center"/>
          </w:tcPr>
          <w:p>
            <w:pPr>
              <w:spacing w:after="30" w:line="250"/>
              <w:jc w:val="center"/>
            </w:pPr>
            <w:r>
              <w:rPr>
                <w:b/>
                <w:bCs/>
                <w:sz w:val="18"/>
                <w:szCs w:val="18"/>
              </w:rPr>
              <w:t xml:space="preserve">Simulation in loop</w:t>
            </w:r>
          </w:p>
        </w:tc>
        <w:tc>
          <w:tcPr>
            <w:tcW w:type="dxa" w:w="1020"/>
            <w:tcBorders>
              <w:top w:val="single" w:color="BFBFBF" w:sz="1"/>
              <w:left w:val="single" w:color="BFBFBF" w:sz="1"/>
              <w:bottom w:val="single" w:color="BFBFBF" w:sz="1"/>
              <w:right w:val="single" w:color="BFBFBF" w:sz="1"/>
            </w:tcBorders>
            <w:shd w:fill="E8EDF5" w:val="clear"/>
            <w:tcMar>
              <w:top w:type="dxa" w:w="70"/>
              <w:left w:type="dxa" w:w="100"/>
              <w:bottom w:type="dxa" w:w="70"/>
              <w:right w:type="dxa" w:w="100"/>
            </w:tcMar>
            <w:vAlign w:val="center"/>
          </w:tcPr>
          <w:p>
            <w:pPr>
              <w:spacing w:after="30" w:line="250"/>
              <w:jc w:val="center"/>
            </w:pPr>
            <w:r>
              <w:rPr>
                <w:b/>
                <w:bCs/>
                <w:sz w:val="18"/>
                <w:szCs w:val="18"/>
              </w:rPr>
              <w:t xml:space="preserve">Self-extending tools</w:t>
            </w:r>
          </w:p>
        </w:tc>
        <w:tc>
          <w:tcPr>
            <w:tcW w:type="dxa" w:w="1020"/>
            <w:tcBorders>
              <w:top w:val="single" w:color="BFBFBF" w:sz="1"/>
              <w:left w:val="single" w:color="BFBFBF" w:sz="1"/>
              <w:bottom w:val="single" w:color="BFBFBF" w:sz="1"/>
              <w:right w:val="single" w:color="BFBFBF" w:sz="1"/>
            </w:tcBorders>
            <w:shd w:fill="E8EDF5" w:val="clear"/>
            <w:tcMar>
              <w:top w:type="dxa" w:w="70"/>
              <w:left w:type="dxa" w:w="100"/>
              <w:bottom w:type="dxa" w:w="70"/>
              <w:right w:type="dxa" w:w="100"/>
            </w:tcMar>
            <w:vAlign w:val="center"/>
          </w:tcPr>
          <w:p>
            <w:pPr>
              <w:spacing w:after="30" w:line="250"/>
              <w:jc w:val="center"/>
            </w:pPr>
            <w:r>
              <w:rPr>
                <w:b/>
                <w:bCs/>
                <w:sz w:val="18"/>
                <w:szCs w:val="18"/>
              </w:rPr>
              <w:t xml:space="preserve">Memory + ablation</w:t>
            </w:r>
          </w:p>
        </w:tc>
        <w:tc>
          <w:tcPr>
            <w:tcW w:type="dxa" w:w="1240"/>
            <w:tcBorders>
              <w:top w:val="single" w:color="BFBFBF" w:sz="1"/>
              <w:left w:val="single" w:color="BFBFBF" w:sz="1"/>
              <w:bottom w:val="single" w:color="BFBFBF" w:sz="1"/>
              <w:right w:val="single" w:color="BFBFBF" w:sz="1"/>
            </w:tcBorders>
            <w:shd w:fill="E8EDF5" w:val="clear"/>
            <w:tcMar>
              <w:top w:type="dxa" w:w="70"/>
              <w:left w:type="dxa" w:w="100"/>
              <w:bottom w:type="dxa" w:w="70"/>
              <w:right w:type="dxa" w:w="100"/>
            </w:tcMar>
            <w:vAlign w:val="center"/>
          </w:tcPr>
          <w:p>
            <w:pPr>
              <w:spacing w:after="30" w:line="250"/>
              <w:jc w:val="center"/>
            </w:pPr>
            <w:r>
              <w:rPr>
                <w:b/>
                <w:bCs/>
                <w:sz w:val="18"/>
                <w:szCs w:val="18"/>
              </w:rPr>
              <w:t xml:space="preserve">Evaluation type</w:t>
            </w:r>
          </w:p>
        </w:tc>
      </w:tr>
      <w:tr>
        <w:tc>
          <w:tcPr>
            <w:tcW w:type="dxa" w:w="1740"/>
            <w:tcBorders>
              <w:top w:val="single" w:color="BFBFBF" w:sz="1"/>
              <w:left w:val="single" w:color="BFBFBF" w:sz="1"/>
              <w:bottom w:val="single" w:color="BFBFBF" w:sz="1"/>
              <w:right w:val="single" w:color="BFBFBF" w:sz="1"/>
            </w:tcBorders>
            <w:tcMar>
              <w:top w:type="dxa" w:w="70"/>
              <w:left w:type="dxa" w:w="100"/>
              <w:bottom w:type="dxa" w:w="70"/>
              <w:right w:type="dxa" w:w="100"/>
            </w:tcMar>
            <w:vAlign w:val="center"/>
          </w:tcPr>
          <w:p>
            <w:pPr>
              <w:spacing w:after="30" w:line="250"/>
              <w:jc w:val="left"/>
            </w:pPr>
            <w:r>
              <w:rPr>
                <w:b/>
                <w:bCs/>
                <w:sz w:val="18"/>
                <w:szCs w:val="18"/>
              </w:rPr>
              <w:t xml:space="preserve">DeepCAD / Text2CAD</w:t>
            </w:r>
          </w:p>
        </w:tc>
        <w:tc>
          <w:tcPr>
            <w:tcW w:type="dxa" w:w="980"/>
            <w:tcBorders>
              <w:top w:val="single" w:color="BFBFBF" w:sz="1"/>
              <w:left w:val="single" w:color="BFBFBF" w:sz="1"/>
              <w:bottom w:val="single" w:color="BFBFBF" w:sz="1"/>
              <w:right w:val="single" w:color="BFBFBF" w:sz="1"/>
            </w:tcBorders>
            <w:tcMar>
              <w:top w:type="dxa" w:w="70"/>
              <w:left w:type="dxa" w:w="100"/>
              <w:bottom w:type="dxa" w:w="70"/>
              <w:right w:type="dxa" w:w="100"/>
            </w:tcMar>
            <w:vAlign w:val="center"/>
          </w:tcPr>
          <w:p>
            <w:pPr>
              <w:spacing w:after="30" w:line="250"/>
              <w:jc w:val="center"/>
            </w:pPr>
            <w:r>
              <w:rPr>
                <w:b w:val="false"/>
                <w:bCs w:val="false"/>
                <w:color w:val="B02A2A"/>
                <w:sz w:val="18"/>
                <w:szCs w:val="18"/>
              </w:rPr>
              <w:t xml:space="preserve">✗</w:t>
            </w:r>
          </w:p>
        </w:tc>
        <w:tc>
          <w:tcPr>
            <w:tcW w:type="dxa" w:w="880"/>
            <w:tcBorders>
              <w:top w:val="single" w:color="BFBFBF" w:sz="1"/>
              <w:left w:val="single" w:color="BFBFBF" w:sz="1"/>
              <w:bottom w:val="single" w:color="BFBFBF" w:sz="1"/>
              <w:right w:val="single" w:color="BFBFBF" w:sz="1"/>
            </w:tcBorders>
            <w:tcMar>
              <w:top w:type="dxa" w:w="70"/>
              <w:left w:type="dxa" w:w="100"/>
              <w:bottom w:type="dxa" w:w="70"/>
              <w:right w:type="dxa" w:w="100"/>
            </w:tcMar>
            <w:vAlign w:val="center"/>
          </w:tcPr>
          <w:p>
            <w:pPr>
              <w:spacing w:after="30" w:line="250"/>
              <w:jc w:val="center"/>
            </w:pPr>
            <w:r>
              <w:rPr>
                <w:b w:val="false"/>
                <w:bCs w:val="false"/>
                <w:sz w:val="18"/>
                <w:szCs w:val="18"/>
              </w:rPr>
              <w:t xml:space="preserve">—</w:t>
            </w:r>
          </w:p>
        </w:tc>
        <w:tc>
          <w:tcPr>
            <w:tcW w:type="dxa" w:w="980"/>
            <w:tcBorders>
              <w:top w:val="single" w:color="BFBFBF" w:sz="1"/>
              <w:left w:val="single" w:color="BFBFBF" w:sz="1"/>
              <w:bottom w:val="single" w:color="BFBFBF" w:sz="1"/>
              <w:right w:val="single" w:color="BFBFBF" w:sz="1"/>
            </w:tcBorders>
            <w:tcMar>
              <w:top w:type="dxa" w:w="70"/>
              <w:left w:type="dxa" w:w="100"/>
              <w:bottom w:type="dxa" w:w="70"/>
              <w:right w:type="dxa" w:w="100"/>
            </w:tcMar>
            <w:vAlign w:val="center"/>
          </w:tcPr>
          <w:p>
            <w:pPr>
              <w:spacing w:after="30" w:line="250"/>
              <w:jc w:val="center"/>
            </w:pPr>
            <w:r>
              <w:rPr>
                <w:b w:val="false"/>
                <w:bCs w:val="false"/>
                <w:color w:val="B02A2A"/>
                <w:sz w:val="18"/>
                <w:szCs w:val="18"/>
              </w:rPr>
              <w:t xml:space="preserve">✗</w:t>
            </w:r>
          </w:p>
        </w:tc>
        <w:tc>
          <w:tcPr>
            <w:tcW w:type="dxa" w:w="940"/>
            <w:tcBorders>
              <w:top w:val="single" w:color="BFBFBF" w:sz="1"/>
              <w:left w:val="single" w:color="BFBFBF" w:sz="1"/>
              <w:bottom w:val="single" w:color="BFBFBF" w:sz="1"/>
              <w:right w:val="single" w:color="BFBFBF" w:sz="1"/>
            </w:tcBorders>
            <w:tcMar>
              <w:top w:type="dxa" w:w="70"/>
              <w:left w:type="dxa" w:w="100"/>
              <w:bottom w:type="dxa" w:w="70"/>
              <w:right w:type="dxa" w:w="100"/>
            </w:tcMar>
            <w:vAlign w:val="center"/>
          </w:tcPr>
          <w:p>
            <w:pPr>
              <w:spacing w:after="30" w:line="250"/>
              <w:jc w:val="center"/>
            </w:pPr>
            <w:r>
              <w:rPr>
                <w:b w:val="false"/>
                <w:bCs w:val="false"/>
                <w:color w:val="B02A2A"/>
                <w:sz w:val="18"/>
                <w:szCs w:val="18"/>
              </w:rPr>
              <w:t xml:space="preserve">✗</w:t>
            </w:r>
          </w:p>
        </w:tc>
        <w:tc>
          <w:tcPr>
            <w:tcW w:type="dxa" w:w="1020"/>
            <w:tcBorders>
              <w:top w:val="single" w:color="BFBFBF" w:sz="1"/>
              <w:left w:val="single" w:color="BFBFBF" w:sz="1"/>
              <w:bottom w:val="single" w:color="BFBFBF" w:sz="1"/>
              <w:right w:val="single" w:color="BFBFBF" w:sz="1"/>
            </w:tcBorders>
            <w:tcMar>
              <w:top w:type="dxa" w:w="70"/>
              <w:left w:type="dxa" w:w="100"/>
              <w:bottom w:type="dxa" w:w="70"/>
              <w:right w:type="dxa" w:w="100"/>
            </w:tcMar>
            <w:vAlign w:val="center"/>
          </w:tcPr>
          <w:p>
            <w:pPr>
              <w:spacing w:after="30" w:line="250"/>
              <w:jc w:val="center"/>
            </w:pPr>
            <w:r>
              <w:rPr>
                <w:b w:val="false"/>
                <w:bCs w:val="false"/>
                <w:color w:val="B02A2A"/>
                <w:sz w:val="18"/>
                <w:szCs w:val="18"/>
              </w:rPr>
              <w:t xml:space="preserve">✗</w:t>
            </w:r>
          </w:p>
        </w:tc>
        <w:tc>
          <w:tcPr>
            <w:tcW w:type="dxa" w:w="1020"/>
            <w:tcBorders>
              <w:top w:val="single" w:color="BFBFBF" w:sz="1"/>
              <w:left w:val="single" w:color="BFBFBF" w:sz="1"/>
              <w:bottom w:val="single" w:color="BFBFBF" w:sz="1"/>
              <w:right w:val="single" w:color="BFBFBF" w:sz="1"/>
            </w:tcBorders>
            <w:tcMar>
              <w:top w:type="dxa" w:w="70"/>
              <w:left w:type="dxa" w:w="100"/>
              <w:bottom w:type="dxa" w:w="70"/>
              <w:right w:type="dxa" w:w="100"/>
            </w:tcMar>
            <w:vAlign w:val="center"/>
          </w:tcPr>
          <w:p>
            <w:pPr>
              <w:spacing w:after="30" w:line="250"/>
              <w:jc w:val="center"/>
            </w:pPr>
            <w:r>
              <w:rPr>
                <w:b w:val="false"/>
                <w:bCs w:val="false"/>
                <w:color w:val="B02A2A"/>
                <w:sz w:val="18"/>
                <w:szCs w:val="18"/>
              </w:rPr>
              <w:t xml:space="preserve">✗</w:t>
            </w:r>
          </w:p>
        </w:tc>
        <w:tc>
          <w:tcPr>
            <w:tcW w:type="dxa" w:w="1240"/>
            <w:tcBorders>
              <w:top w:val="single" w:color="BFBFBF" w:sz="1"/>
              <w:left w:val="single" w:color="BFBFBF" w:sz="1"/>
              <w:bottom w:val="single" w:color="BFBFBF" w:sz="1"/>
              <w:right w:val="single" w:color="BFBFBF" w:sz="1"/>
            </w:tcBorders>
            <w:tcMar>
              <w:top w:type="dxa" w:w="70"/>
              <w:left w:type="dxa" w:w="100"/>
              <w:bottom w:type="dxa" w:w="70"/>
              <w:right w:type="dxa" w:w="100"/>
            </w:tcMar>
            <w:vAlign w:val="center"/>
          </w:tcPr>
          <w:p>
            <w:pPr>
              <w:spacing w:after="30" w:line="250"/>
              <w:jc w:val="left"/>
            </w:pPr>
            <w:r>
              <w:rPr>
                <w:b w:val="false"/>
                <w:bCs w:val="false"/>
                <w:sz w:val="18"/>
                <w:szCs w:val="18"/>
              </w:rPr>
              <w:t xml:space="preserve">Dataset metrics</w:t>
            </w:r>
          </w:p>
        </w:tc>
      </w:tr>
      <w:tr>
        <w:tc>
          <w:tcPr>
            <w:tcW w:type="dxa" w:w="1740"/>
            <w:tcBorders>
              <w:top w:val="single" w:color="BFBFBF" w:sz="1"/>
              <w:left w:val="single" w:color="BFBFBF" w:sz="1"/>
              <w:bottom w:val="single" w:color="BFBFBF" w:sz="1"/>
              <w:right w:val="single" w:color="BFBFBF" w:sz="1"/>
            </w:tcBorders>
            <w:shd w:fill="F4F6FA" w:val="clear"/>
            <w:tcMar>
              <w:top w:type="dxa" w:w="70"/>
              <w:left w:type="dxa" w:w="100"/>
              <w:bottom w:type="dxa" w:w="70"/>
              <w:right w:type="dxa" w:w="100"/>
            </w:tcMar>
            <w:vAlign w:val="center"/>
          </w:tcPr>
          <w:p>
            <w:pPr>
              <w:spacing w:after="30" w:line="250"/>
              <w:jc w:val="left"/>
            </w:pPr>
            <w:r>
              <w:rPr>
                <w:b/>
                <w:bCs/>
                <w:sz w:val="18"/>
                <w:szCs w:val="18"/>
              </w:rPr>
              <w:t xml:space="preserve">Query2CAD</w:t>
            </w:r>
          </w:p>
        </w:tc>
        <w:tc>
          <w:tcPr>
            <w:tcW w:type="dxa" w:w="980"/>
            <w:tcBorders>
              <w:top w:val="single" w:color="BFBFBF" w:sz="1"/>
              <w:left w:val="single" w:color="BFBFBF" w:sz="1"/>
              <w:bottom w:val="single" w:color="BFBFBF" w:sz="1"/>
              <w:right w:val="single" w:color="BFBFBF" w:sz="1"/>
            </w:tcBorders>
            <w:shd w:fill="F4F6FA" w:val="clear"/>
            <w:tcMar>
              <w:top w:type="dxa" w:w="70"/>
              <w:left w:type="dxa" w:w="100"/>
              <w:bottom w:type="dxa" w:w="70"/>
              <w:right w:type="dxa" w:w="100"/>
            </w:tcMar>
            <w:vAlign w:val="center"/>
          </w:tcPr>
          <w:p>
            <w:pPr>
              <w:spacing w:after="30" w:line="250"/>
              <w:jc w:val="center"/>
            </w:pPr>
            <w:r>
              <w:rPr>
                <w:b w:val="false"/>
                <w:bCs w:val="false"/>
                <w:color w:val="1E7B34"/>
                <w:sz w:val="18"/>
                <w:szCs w:val="18"/>
              </w:rPr>
              <w:t xml:space="preserve">✓</w:t>
            </w:r>
          </w:p>
        </w:tc>
        <w:tc>
          <w:tcPr>
            <w:tcW w:type="dxa" w:w="880"/>
            <w:tcBorders>
              <w:top w:val="single" w:color="BFBFBF" w:sz="1"/>
              <w:left w:val="single" w:color="BFBFBF" w:sz="1"/>
              <w:bottom w:val="single" w:color="BFBFBF" w:sz="1"/>
              <w:right w:val="single" w:color="BFBFBF" w:sz="1"/>
            </w:tcBorders>
            <w:shd w:fill="F4F6FA" w:val="clear"/>
            <w:tcMar>
              <w:top w:type="dxa" w:w="70"/>
              <w:left w:type="dxa" w:w="100"/>
              <w:bottom w:type="dxa" w:w="70"/>
              <w:right w:type="dxa" w:w="100"/>
            </w:tcMar>
            <w:vAlign w:val="center"/>
          </w:tcPr>
          <w:p>
            <w:pPr>
              <w:spacing w:after="30" w:line="250"/>
              <w:jc w:val="center"/>
            </w:pPr>
            <w:r>
              <w:rPr>
                <w:b w:val="false"/>
                <w:bCs w:val="false"/>
                <w:color w:val="B02A2A"/>
                <w:sz w:val="18"/>
                <w:szCs w:val="18"/>
              </w:rPr>
              <w:t xml:space="preserve">✗</w:t>
            </w:r>
          </w:p>
        </w:tc>
        <w:tc>
          <w:tcPr>
            <w:tcW w:type="dxa" w:w="980"/>
            <w:tcBorders>
              <w:top w:val="single" w:color="BFBFBF" w:sz="1"/>
              <w:left w:val="single" w:color="BFBFBF" w:sz="1"/>
              <w:bottom w:val="single" w:color="BFBFBF" w:sz="1"/>
              <w:right w:val="single" w:color="BFBFBF" w:sz="1"/>
            </w:tcBorders>
            <w:shd w:fill="F4F6FA" w:val="clear"/>
            <w:tcMar>
              <w:top w:type="dxa" w:w="70"/>
              <w:left w:type="dxa" w:w="100"/>
              <w:bottom w:type="dxa" w:w="70"/>
              <w:right w:type="dxa" w:w="100"/>
            </w:tcMar>
            <w:vAlign w:val="center"/>
          </w:tcPr>
          <w:p>
            <w:pPr>
              <w:spacing w:after="30" w:line="250"/>
              <w:jc w:val="center"/>
            </w:pPr>
            <w:r>
              <w:rPr>
                <w:b w:val="false"/>
                <w:bCs w:val="false"/>
                <w:color w:val="B02A2A"/>
                <w:sz w:val="18"/>
                <w:szCs w:val="18"/>
              </w:rPr>
              <w:t xml:space="preserve">✗</w:t>
            </w:r>
          </w:p>
        </w:tc>
        <w:tc>
          <w:tcPr>
            <w:tcW w:type="dxa" w:w="940"/>
            <w:tcBorders>
              <w:top w:val="single" w:color="BFBFBF" w:sz="1"/>
              <w:left w:val="single" w:color="BFBFBF" w:sz="1"/>
              <w:bottom w:val="single" w:color="BFBFBF" w:sz="1"/>
              <w:right w:val="single" w:color="BFBFBF" w:sz="1"/>
            </w:tcBorders>
            <w:shd w:fill="F4F6FA" w:val="clear"/>
            <w:tcMar>
              <w:top w:type="dxa" w:w="70"/>
              <w:left w:type="dxa" w:w="100"/>
              <w:bottom w:type="dxa" w:w="70"/>
              <w:right w:type="dxa" w:w="100"/>
            </w:tcMar>
            <w:vAlign w:val="center"/>
          </w:tcPr>
          <w:p>
            <w:pPr>
              <w:spacing w:after="30" w:line="250"/>
              <w:jc w:val="center"/>
            </w:pPr>
            <w:r>
              <w:rPr>
                <w:b w:val="false"/>
                <w:bCs w:val="false"/>
                <w:color w:val="B02A2A"/>
                <w:sz w:val="18"/>
                <w:szCs w:val="18"/>
              </w:rPr>
              <w:t xml:space="preserve">✗</w:t>
            </w:r>
          </w:p>
        </w:tc>
        <w:tc>
          <w:tcPr>
            <w:tcW w:type="dxa" w:w="1020"/>
            <w:tcBorders>
              <w:top w:val="single" w:color="BFBFBF" w:sz="1"/>
              <w:left w:val="single" w:color="BFBFBF" w:sz="1"/>
              <w:bottom w:val="single" w:color="BFBFBF" w:sz="1"/>
              <w:right w:val="single" w:color="BFBFBF" w:sz="1"/>
            </w:tcBorders>
            <w:shd w:fill="F4F6FA" w:val="clear"/>
            <w:tcMar>
              <w:top w:type="dxa" w:w="70"/>
              <w:left w:type="dxa" w:w="100"/>
              <w:bottom w:type="dxa" w:w="70"/>
              <w:right w:type="dxa" w:w="100"/>
            </w:tcMar>
            <w:vAlign w:val="center"/>
          </w:tcPr>
          <w:p>
            <w:pPr>
              <w:spacing w:after="30" w:line="250"/>
              <w:jc w:val="center"/>
            </w:pPr>
            <w:r>
              <w:rPr>
                <w:b w:val="false"/>
                <w:bCs w:val="false"/>
                <w:color w:val="B02A2A"/>
                <w:sz w:val="18"/>
                <w:szCs w:val="18"/>
              </w:rPr>
              <w:t xml:space="preserve">✗</w:t>
            </w:r>
          </w:p>
        </w:tc>
        <w:tc>
          <w:tcPr>
            <w:tcW w:type="dxa" w:w="1020"/>
            <w:tcBorders>
              <w:top w:val="single" w:color="BFBFBF" w:sz="1"/>
              <w:left w:val="single" w:color="BFBFBF" w:sz="1"/>
              <w:bottom w:val="single" w:color="BFBFBF" w:sz="1"/>
              <w:right w:val="single" w:color="BFBFBF" w:sz="1"/>
            </w:tcBorders>
            <w:shd w:fill="F4F6FA" w:val="clear"/>
            <w:tcMar>
              <w:top w:type="dxa" w:w="70"/>
              <w:left w:type="dxa" w:w="100"/>
              <w:bottom w:type="dxa" w:w="70"/>
              <w:right w:type="dxa" w:w="100"/>
            </w:tcMar>
            <w:vAlign w:val="center"/>
          </w:tcPr>
          <w:p>
            <w:pPr>
              <w:spacing w:after="30" w:line="250"/>
              <w:jc w:val="center"/>
            </w:pPr>
            <w:r>
              <w:rPr>
                <w:b w:val="false"/>
                <w:bCs w:val="false"/>
                <w:color w:val="B02A2A"/>
                <w:sz w:val="18"/>
                <w:szCs w:val="18"/>
              </w:rPr>
              <w:t xml:space="preserve">✗</w:t>
            </w:r>
          </w:p>
        </w:tc>
        <w:tc>
          <w:tcPr>
            <w:tcW w:type="dxa" w:w="1240"/>
            <w:tcBorders>
              <w:top w:val="single" w:color="BFBFBF" w:sz="1"/>
              <w:left w:val="single" w:color="BFBFBF" w:sz="1"/>
              <w:bottom w:val="single" w:color="BFBFBF" w:sz="1"/>
              <w:right w:val="single" w:color="BFBFBF" w:sz="1"/>
            </w:tcBorders>
            <w:shd w:fill="F4F6FA" w:val="clear"/>
            <w:tcMar>
              <w:top w:type="dxa" w:w="70"/>
              <w:left w:type="dxa" w:w="100"/>
              <w:bottom w:type="dxa" w:w="70"/>
              <w:right w:type="dxa" w:w="100"/>
            </w:tcMar>
            <w:vAlign w:val="center"/>
          </w:tcPr>
          <w:p>
            <w:pPr>
              <w:spacing w:after="30" w:line="250"/>
              <w:jc w:val="left"/>
            </w:pPr>
            <w:r>
              <w:rPr>
                <w:b w:val="false"/>
                <w:bCs w:val="false"/>
                <w:sz w:val="18"/>
                <w:szCs w:val="18"/>
              </w:rPr>
              <w:t xml:space="preserve">Success rate (cloud)</w:t>
            </w:r>
          </w:p>
        </w:tc>
      </w:tr>
      <w:tr>
        <w:tc>
          <w:tcPr>
            <w:tcW w:type="dxa" w:w="1740"/>
            <w:tcBorders>
              <w:top w:val="single" w:color="BFBFBF" w:sz="1"/>
              <w:left w:val="single" w:color="BFBFBF" w:sz="1"/>
              <w:bottom w:val="single" w:color="BFBFBF" w:sz="1"/>
              <w:right w:val="single" w:color="BFBFBF" w:sz="1"/>
            </w:tcBorders>
            <w:tcMar>
              <w:top w:type="dxa" w:w="70"/>
              <w:left w:type="dxa" w:w="100"/>
              <w:bottom w:type="dxa" w:w="70"/>
              <w:right w:type="dxa" w:w="100"/>
            </w:tcMar>
            <w:vAlign w:val="center"/>
          </w:tcPr>
          <w:p>
            <w:pPr>
              <w:spacing w:after="30" w:line="250"/>
              <w:jc w:val="left"/>
            </w:pPr>
            <w:r>
              <w:rPr>
                <w:b/>
                <w:bCs/>
                <w:sz w:val="18"/>
                <w:szCs w:val="18"/>
              </w:rPr>
              <w:t xml:space="preserve">Seek-CAD</w:t>
            </w:r>
          </w:p>
        </w:tc>
        <w:tc>
          <w:tcPr>
            <w:tcW w:type="dxa" w:w="980"/>
            <w:tcBorders>
              <w:top w:val="single" w:color="BFBFBF" w:sz="1"/>
              <w:left w:val="single" w:color="BFBFBF" w:sz="1"/>
              <w:bottom w:val="single" w:color="BFBFBF" w:sz="1"/>
              <w:right w:val="single" w:color="BFBFBF" w:sz="1"/>
            </w:tcBorders>
            <w:tcMar>
              <w:top w:type="dxa" w:w="70"/>
              <w:left w:type="dxa" w:w="100"/>
              <w:bottom w:type="dxa" w:w="70"/>
              <w:right w:type="dxa" w:w="100"/>
            </w:tcMar>
            <w:vAlign w:val="center"/>
          </w:tcPr>
          <w:p>
            <w:pPr>
              <w:spacing w:after="30" w:line="250"/>
              <w:jc w:val="center"/>
            </w:pPr>
            <w:r>
              <w:rPr>
                <w:b w:val="false"/>
                <w:bCs w:val="false"/>
                <w:color w:val="B02A2A"/>
                <w:sz w:val="18"/>
                <w:szCs w:val="18"/>
              </w:rPr>
              <w:t xml:space="preserve">✗</w:t>
            </w:r>
          </w:p>
        </w:tc>
        <w:tc>
          <w:tcPr>
            <w:tcW w:type="dxa" w:w="880"/>
            <w:tcBorders>
              <w:top w:val="single" w:color="BFBFBF" w:sz="1"/>
              <w:left w:val="single" w:color="BFBFBF" w:sz="1"/>
              <w:bottom w:val="single" w:color="BFBFBF" w:sz="1"/>
              <w:right w:val="single" w:color="BFBFBF" w:sz="1"/>
            </w:tcBorders>
            <w:tcMar>
              <w:top w:type="dxa" w:w="70"/>
              <w:left w:type="dxa" w:w="100"/>
              <w:bottom w:type="dxa" w:w="70"/>
              <w:right w:type="dxa" w:w="100"/>
            </w:tcMar>
            <w:vAlign w:val="center"/>
          </w:tcPr>
          <w:p>
            <w:pPr>
              <w:spacing w:after="30" w:line="250"/>
              <w:jc w:val="center"/>
            </w:pPr>
            <w:r>
              <w:rPr>
                <w:b w:val="false"/>
                <w:bCs w:val="false"/>
                <w:color w:val="1E7B34"/>
                <w:sz w:val="18"/>
                <w:szCs w:val="18"/>
              </w:rPr>
              <w:t xml:space="preserve">✓</w:t>
            </w:r>
          </w:p>
        </w:tc>
        <w:tc>
          <w:tcPr>
            <w:tcW w:type="dxa" w:w="980"/>
            <w:tcBorders>
              <w:top w:val="single" w:color="BFBFBF" w:sz="1"/>
              <w:left w:val="single" w:color="BFBFBF" w:sz="1"/>
              <w:bottom w:val="single" w:color="BFBFBF" w:sz="1"/>
              <w:right w:val="single" w:color="BFBFBF" w:sz="1"/>
            </w:tcBorders>
            <w:tcMar>
              <w:top w:type="dxa" w:w="70"/>
              <w:left w:type="dxa" w:w="100"/>
              <w:bottom w:type="dxa" w:w="70"/>
              <w:right w:type="dxa" w:w="100"/>
            </w:tcMar>
            <w:vAlign w:val="center"/>
          </w:tcPr>
          <w:p>
            <w:pPr>
              <w:spacing w:after="30" w:line="250"/>
              <w:jc w:val="center"/>
            </w:pPr>
            <w:r>
              <w:rPr>
                <w:b w:val="false"/>
                <w:bCs w:val="false"/>
                <w:color w:val="B02A2A"/>
                <w:sz w:val="18"/>
                <w:szCs w:val="18"/>
              </w:rPr>
              <w:t xml:space="preserve">✗</w:t>
            </w:r>
          </w:p>
        </w:tc>
        <w:tc>
          <w:tcPr>
            <w:tcW w:type="dxa" w:w="940"/>
            <w:tcBorders>
              <w:top w:val="single" w:color="BFBFBF" w:sz="1"/>
              <w:left w:val="single" w:color="BFBFBF" w:sz="1"/>
              <w:bottom w:val="single" w:color="BFBFBF" w:sz="1"/>
              <w:right w:val="single" w:color="BFBFBF" w:sz="1"/>
            </w:tcBorders>
            <w:tcMar>
              <w:top w:type="dxa" w:w="70"/>
              <w:left w:type="dxa" w:w="100"/>
              <w:bottom w:type="dxa" w:w="70"/>
              <w:right w:type="dxa" w:w="100"/>
            </w:tcMar>
            <w:vAlign w:val="center"/>
          </w:tcPr>
          <w:p>
            <w:pPr>
              <w:spacing w:after="30" w:line="250"/>
              <w:jc w:val="center"/>
            </w:pPr>
            <w:r>
              <w:rPr>
                <w:b w:val="false"/>
                <w:bCs w:val="false"/>
                <w:color w:val="B02A2A"/>
                <w:sz w:val="18"/>
                <w:szCs w:val="18"/>
              </w:rPr>
              <w:t xml:space="preserve">✗</w:t>
            </w:r>
          </w:p>
        </w:tc>
        <w:tc>
          <w:tcPr>
            <w:tcW w:type="dxa" w:w="1020"/>
            <w:tcBorders>
              <w:top w:val="single" w:color="BFBFBF" w:sz="1"/>
              <w:left w:val="single" w:color="BFBFBF" w:sz="1"/>
              <w:bottom w:val="single" w:color="BFBFBF" w:sz="1"/>
              <w:right w:val="single" w:color="BFBFBF" w:sz="1"/>
            </w:tcBorders>
            <w:tcMar>
              <w:top w:type="dxa" w:w="70"/>
              <w:left w:type="dxa" w:w="100"/>
              <w:bottom w:type="dxa" w:w="70"/>
              <w:right w:type="dxa" w:w="100"/>
            </w:tcMar>
            <w:vAlign w:val="center"/>
          </w:tcPr>
          <w:p>
            <w:pPr>
              <w:spacing w:after="30" w:line="250"/>
              <w:jc w:val="center"/>
            </w:pPr>
            <w:r>
              <w:rPr>
                <w:b w:val="false"/>
                <w:bCs w:val="false"/>
                <w:color w:val="B02A2A"/>
                <w:sz w:val="18"/>
                <w:szCs w:val="18"/>
              </w:rPr>
              <w:t xml:space="preserve">✗</w:t>
            </w:r>
          </w:p>
        </w:tc>
        <w:tc>
          <w:tcPr>
            <w:tcW w:type="dxa" w:w="1020"/>
            <w:tcBorders>
              <w:top w:val="single" w:color="BFBFBF" w:sz="1"/>
              <w:left w:val="single" w:color="BFBFBF" w:sz="1"/>
              <w:bottom w:val="single" w:color="BFBFBF" w:sz="1"/>
              <w:right w:val="single" w:color="BFBFBF" w:sz="1"/>
            </w:tcBorders>
            <w:tcMar>
              <w:top w:type="dxa" w:w="70"/>
              <w:left w:type="dxa" w:w="100"/>
              <w:bottom w:type="dxa" w:w="70"/>
              <w:right w:type="dxa" w:w="100"/>
            </w:tcMar>
            <w:vAlign w:val="center"/>
          </w:tcPr>
          <w:p>
            <w:pPr>
              <w:spacing w:after="30" w:line="250"/>
              <w:jc w:val="center"/>
            </w:pPr>
            <w:r>
              <w:rPr>
                <w:b w:val="false"/>
                <w:bCs w:val="false"/>
                <w:color w:val="B02A2A"/>
                <w:sz w:val="18"/>
                <w:szCs w:val="18"/>
              </w:rPr>
              <w:t xml:space="preserve">✗</w:t>
            </w:r>
          </w:p>
        </w:tc>
        <w:tc>
          <w:tcPr>
            <w:tcW w:type="dxa" w:w="1240"/>
            <w:tcBorders>
              <w:top w:val="single" w:color="BFBFBF" w:sz="1"/>
              <w:left w:val="single" w:color="BFBFBF" w:sz="1"/>
              <w:bottom w:val="single" w:color="BFBFBF" w:sz="1"/>
              <w:right w:val="single" w:color="BFBFBF" w:sz="1"/>
            </w:tcBorders>
            <w:tcMar>
              <w:top w:type="dxa" w:w="70"/>
              <w:left w:type="dxa" w:w="100"/>
              <w:bottom w:type="dxa" w:w="70"/>
              <w:right w:type="dxa" w:w="100"/>
            </w:tcMar>
            <w:vAlign w:val="center"/>
          </w:tcPr>
          <w:p>
            <w:pPr>
              <w:spacing w:after="30" w:line="250"/>
              <w:jc w:val="left"/>
            </w:pPr>
            <w:r>
              <w:rPr>
                <w:b w:val="false"/>
                <w:bCs w:val="false"/>
                <w:sz w:val="18"/>
                <w:szCs w:val="18"/>
              </w:rPr>
              <w:t xml:space="preserve">Generation quality</w:t>
            </w:r>
          </w:p>
        </w:tc>
      </w:tr>
      <w:tr>
        <w:tc>
          <w:tcPr>
            <w:tcW w:type="dxa" w:w="1740"/>
            <w:tcBorders>
              <w:top w:val="single" w:color="BFBFBF" w:sz="1"/>
              <w:left w:val="single" w:color="BFBFBF" w:sz="1"/>
              <w:bottom w:val="single" w:color="BFBFBF" w:sz="1"/>
              <w:right w:val="single" w:color="BFBFBF" w:sz="1"/>
            </w:tcBorders>
            <w:shd w:fill="F4F6FA" w:val="clear"/>
            <w:tcMar>
              <w:top w:type="dxa" w:w="70"/>
              <w:left w:type="dxa" w:w="100"/>
              <w:bottom w:type="dxa" w:w="70"/>
              <w:right w:type="dxa" w:w="100"/>
            </w:tcMar>
            <w:vAlign w:val="center"/>
          </w:tcPr>
          <w:p>
            <w:pPr>
              <w:spacing w:after="30" w:line="250"/>
              <w:jc w:val="left"/>
            </w:pPr>
            <w:r>
              <w:rPr>
                <w:b/>
                <w:bCs/>
                <w:sz w:val="18"/>
                <w:szCs w:val="18"/>
              </w:rPr>
              <w:t xml:space="preserve">ICED 2025 framework</w:t>
            </w:r>
          </w:p>
        </w:tc>
        <w:tc>
          <w:tcPr>
            <w:tcW w:type="dxa" w:w="980"/>
            <w:tcBorders>
              <w:top w:val="single" w:color="BFBFBF" w:sz="1"/>
              <w:left w:val="single" w:color="BFBFBF" w:sz="1"/>
              <w:bottom w:val="single" w:color="BFBFBF" w:sz="1"/>
              <w:right w:val="single" w:color="BFBFBF" w:sz="1"/>
            </w:tcBorders>
            <w:shd w:fill="F4F6FA" w:val="clear"/>
            <w:tcMar>
              <w:top w:type="dxa" w:w="70"/>
              <w:left w:type="dxa" w:w="100"/>
              <w:bottom w:type="dxa" w:w="70"/>
              <w:right w:type="dxa" w:w="100"/>
            </w:tcMar>
            <w:vAlign w:val="center"/>
          </w:tcPr>
          <w:p>
            <w:pPr>
              <w:spacing w:after="30" w:line="250"/>
              <w:jc w:val="center"/>
            </w:pPr>
            <w:r>
              <w:rPr>
                <w:b w:val="false"/>
                <w:bCs w:val="false"/>
                <w:color w:val="1E7B34"/>
                <w:sz w:val="18"/>
                <w:szCs w:val="18"/>
              </w:rPr>
              <w:t xml:space="preserve">✓</w:t>
            </w:r>
          </w:p>
        </w:tc>
        <w:tc>
          <w:tcPr>
            <w:tcW w:type="dxa" w:w="880"/>
            <w:tcBorders>
              <w:top w:val="single" w:color="BFBFBF" w:sz="1"/>
              <w:left w:val="single" w:color="BFBFBF" w:sz="1"/>
              <w:bottom w:val="single" w:color="BFBFBF" w:sz="1"/>
              <w:right w:val="single" w:color="BFBFBF" w:sz="1"/>
            </w:tcBorders>
            <w:shd w:fill="F4F6FA" w:val="clear"/>
            <w:tcMar>
              <w:top w:type="dxa" w:w="70"/>
              <w:left w:type="dxa" w:w="100"/>
              <w:bottom w:type="dxa" w:w="70"/>
              <w:right w:type="dxa" w:w="100"/>
            </w:tcMar>
            <w:vAlign w:val="center"/>
          </w:tcPr>
          <w:p>
            <w:pPr>
              <w:spacing w:after="30" w:line="250"/>
              <w:jc w:val="center"/>
            </w:pPr>
            <w:r>
              <w:rPr>
                <w:b w:val="false"/>
                <w:bCs w:val="false"/>
                <w:color w:val="B02A2A"/>
                <w:sz w:val="18"/>
                <w:szCs w:val="18"/>
              </w:rPr>
              <w:t xml:space="preserve">✗</w:t>
            </w:r>
          </w:p>
        </w:tc>
        <w:tc>
          <w:tcPr>
            <w:tcW w:type="dxa" w:w="980"/>
            <w:tcBorders>
              <w:top w:val="single" w:color="BFBFBF" w:sz="1"/>
              <w:left w:val="single" w:color="BFBFBF" w:sz="1"/>
              <w:bottom w:val="single" w:color="BFBFBF" w:sz="1"/>
              <w:right w:val="single" w:color="BFBFBF" w:sz="1"/>
            </w:tcBorders>
            <w:shd w:fill="F4F6FA" w:val="clear"/>
            <w:tcMar>
              <w:top w:type="dxa" w:w="70"/>
              <w:left w:type="dxa" w:w="100"/>
              <w:bottom w:type="dxa" w:w="70"/>
              <w:right w:type="dxa" w:w="100"/>
            </w:tcMar>
            <w:vAlign w:val="center"/>
          </w:tcPr>
          <w:p>
            <w:pPr>
              <w:spacing w:after="30" w:line="250"/>
              <w:jc w:val="center"/>
            </w:pPr>
            <w:r>
              <w:rPr>
                <w:b w:val="false"/>
                <w:bCs w:val="false"/>
                <w:color w:val="B02A2A"/>
                <w:sz w:val="18"/>
                <w:szCs w:val="18"/>
              </w:rPr>
              <w:t xml:space="preserve">✗</w:t>
            </w:r>
          </w:p>
        </w:tc>
        <w:tc>
          <w:tcPr>
            <w:tcW w:type="dxa" w:w="940"/>
            <w:tcBorders>
              <w:top w:val="single" w:color="BFBFBF" w:sz="1"/>
              <w:left w:val="single" w:color="BFBFBF" w:sz="1"/>
              <w:bottom w:val="single" w:color="BFBFBF" w:sz="1"/>
              <w:right w:val="single" w:color="BFBFBF" w:sz="1"/>
            </w:tcBorders>
            <w:shd w:fill="F4F6FA" w:val="clear"/>
            <w:tcMar>
              <w:top w:type="dxa" w:w="70"/>
              <w:left w:type="dxa" w:w="100"/>
              <w:bottom w:type="dxa" w:w="70"/>
              <w:right w:type="dxa" w:w="100"/>
            </w:tcMar>
            <w:vAlign w:val="center"/>
          </w:tcPr>
          <w:p>
            <w:pPr>
              <w:spacing w:after="30" w:line="250"/>
              <w:jc w:val="center"/>
            </w:pPr>
            <w:r>
              <w:rPr>
                <w:b w:val="false"/>
                <w:bCs w:val="false"/>
                <w:color w:val="B02A2A"/>
                <w:sz w:val="18"/>
                <w:szCs w:val="18"/>
              </w:rPr>
              <w:t xml:space="preserve">✗</w:t>
            </w:r>
          </w:p>
        </w:tc>
        <w:tc>
          <w:tcPr>
            <w:tcW w:type="dxa" w:w="1020"/>
            <w:tcBorders>
              <w:top w:val="single" w:color="BFBFBF" w:sz="1"/>
              <w:left w:val="single" w:color="BFBFBF" w:sz="1"/>
              <w:bottom w:val="single" w:color="BFBFBF" w:sz="1"/>
              <w:right w:val="single" w:color="BFBFBF" w:sz="1"/>
            </w:tcBorders>
            <w:shd w:fill="F4F6FA" w:val="clear"/>
            <w:tcMar>
              <w:top w:type="dxa" w:w="70"/>
              <w:left w:type="dxa" w:w="100"/>
              <w:bottom w:type="dxa" w:w="70"/>
              <w:right w:type="dxa" w:w="100"/>
            </w:tcMar>
            <w:vAlign w:val="center"/>
          </w:tcPr>
          <w:p>
            <w:pPr>
              <w:spacing w:after="30" w:line="250"/>
              <w:jc w:val="center"/>
            </w:pPr>
            <w:r>
              <w:rPr>
                <w:b w:val="false"/>
                <w:bCs w:val="false"/>
                <w:color w:val="B02A2A"/>
                <w:sz w:val="18"/>
                <w:szCs w:val="18"/>
              </w:rPr>
              <w:t xml:space="preserve">✗</w:t>
            </w:r>
          </w:p>
        </w:tc>
        <w:tc>
          <w:tcPr>
            <w:tcW w:type="dxa" w:w="1020"/>
            <w:tcBorders>
              <w:top w:val="single" w:color="BFBFBF" w:sz="1"/>
              <w:left w:val="single" w:color="BFBFBF" w:sz="1"/>
              <w:bottom w:val="single" w:color="BFBFBF" w:sz="1"/>
              <w:right w:val="single" w:color="BFBFBF" w:sz="1"/>
            </w:tcBorders>
            <w:shd w:fill="F4F6FA" w:val="clear"/>
            <w:tcMar>
              <w:top w:type="dxa" w:w="70"/>
              <w:left w:type="dxa" w:w="100"/>
              <w:bottom w:type="dxa" w:w="70"/>
              <w:right w:type="dxa" w:w="100"/>
            </w:tcMar>
            <w:vAlign w:val="center"/>
          </w:tcPr>
          <w:p>
            <w:pPr>
              <w:spacing w:after="30" w:line="250"/>
              <w:jc w:val="center"/>
            </w:pPr>
            <w:r>
              <w:rPr>
                <w:b w:val="false"/>
                <w:bCs w:val="false"/>
                <w:color w:val="B02A2A"/>
                <w:sz w:val="18"/>
                <w:szCs w:val="18"/>
              </w:rPr>
              <w:t xml:space="preserve">✗</w:t>
            </w:r>
          </w:p>
        </w:tc>
        <w:tc>
          <w:tcPr>
            <w:tcW w:type="dxa" w:w="1240"/>
            <w:tcBorders>
              <w:top w:val="single" w:color="BFBFBF" w:sz="1"/>
              <w:left w:val="single" w:color="BFBFBF" w:sz="1"/>
              <w:bottom w:val="single" w:color="BFBFBF" w:sz="1"/>
              <w:right w:val="single" w:color="BFBFBF" w:sz="1"/>
            </w:tcBorders>
            <w:shd w:fill="F4F6FA" w:val="clear"/>
            <w:tcMar>
              <w:top w:type="dxa" w:w="70"/>
              <w:left w:type="dxa" w:w="100"/>
              <w:bottom w:type="dxa" w:w="70"/>
              <w:right w:type="dxa" w:w="100"/>
            </w:tcMar>
            <w:vAlign w:val="center"/>
          </w:tcPr>
          <w:p>
            <w:pPr>
              <w:spacing w:after="30" w:line="250"/>
              <w:jc w:val="left"/>
            </w:pPr>
            <w:r>
              <w:rPr>
                <w:b w:val="false"/>
                <w:bCs w:val="false"/>
                <w:sz w:val="18"/>
                <w:szCs w:val="18"/>
              </w:rPr>
              <w:t xml:space="preserve">Multi-LLM comparison</w:t>
            </w:r>
          </w:p>
        </w:tc>
      </w:tr>
      <w:tr>
        <w:tc>
          <w:tcPr>
            <w:tcW w:type="dxa" w:w="1740"/>
            <w:tcBorders>
              <w:top w:val="single" w:color="BFBFBF" w:sz="1"/>
              <w:left w:val="single" w:color="BFBFBF" w:sz="1"/>
              <w:bottom w:val="single" w:color="BFBFBF" w:sz="1"/>
              <w:right w:val="single" w:color="BFBFBF" w:sz="1"/>
            </w:tcBorders>
            <w:tcMar>
              <w:top w:type="dxa" w:w="70"/>
              <w:left w:type="dxa" w:w="100"/>
              <w:bottom w:type="dxa" w:w="70"/>
              <w:right w:type="dxa" w:w="100"/>
            </w:tcMar>
            <w:vAlign w:val="center"/>
          </w:tcPr>
          <w:p>
            <w:pPr>
              <w:spacing w:after="30" w:line="250"/>
              <w:jc w:val="left"/>
            </w:pPr>
            <w:r>
              <w:rPr>
                <w:b/>
                <w:bCs/>
                <w:sz w:val="18"/>
                <w:szCs w:val="18"/>
              </w:rPr>
              <w:t xml:space="preserve">CADDesigner</w:t>
            </w:r>
          </w:p>
        </w:tc>
        <w:tc>
          <w:tcPr>
            <w:tcW w:type="dxa" w:w="980"/>
            <w:tcBorders>
              <w:top w:val="single" w:color="BFBFBF" w:sz="1"/>
              <w:left w:val="single" w:color="BFBFBF" w:sz="1"/>
              <w:bottom w:val="single" w:color="BFBFBF" w:sz="1"/>
              <w:right w:val="single" w:color="BFBFBF" w:sz="1"/>
            </w:tcBorders>
            <w:tcMar>
              <w:top w:type="dxa" w:w="70"/>
              <w:left w:type="dxa" w:w="100"/>
              <w:bottom w:type="dxa" w:w="70"/>
              <w:right w:type="dxa" w:w="100"/>
            </w:tcMar>
            <w:vAlign w:val="center"/>
          </w:tcPr>
          <w:p>
            <w:pPr>
              <w:spacing w:after="30" w:line="250"/>
              <w:jc w:val="center"/>
            </w:pPr>
            <w:r>
              <w:rPr>
                <w:b w:val="false"/>
                <w:bCs w:val="false"/>
                <w:sz w:val="18"/>
                <w:szCs w:val="18"/>
              </w:rPr>
              <w:t xml:space="preserve">—</w:t>
            </w:r>
          </w:p>
        </w:tc>
        <w:tc>
          <w:tcPr>
            <w:tcW w:type="dxa" w:w="880"/>
            <w:tcBorders>
              <w:top w:val="single" w:color="BFBFBF" w:sz="1"/>
              <w:left w:val="single" w:color="BFBFBF" w:sz="1"/>
              <w:bottom w:val="single" w:color="BFBFBF" w:sz="1"/>
              <w:right w:val="single" w:color="BFBFBF" w:sz="1"/>
            </w:tcBorders>
            <w:tcMar>
              <w:top w:type="dxa" w:w="70"/>
              <w:left w:type="dxa" w:w="100"/>
              <w:bottom w:type="dxa" w:w="70"/>
              <w:right w:type="dxa" w:w="100"/>
            </w:tcMar>
            <w:vAlign w:val="center"/>
          </w:tcPr>
          <w:p>
            <w:pPr>
              <w:spacing w:after="30" w:line="250"/>
              <w:jc w:val="center"/>
            </w:pPr>
            <w:r>
              <w:rPr>
                <w:b w:val="false"/>
                <w:bCs w:val="false"/>
                <w:color w:val="B02A2A"/>
                <w:sz w:val="18"/>
                <w:szCs w:val="18"/>
              </w:rPr>
              <w:t xml:space="preserve">✗</w:t>
            </w:r>
          </w:p>
        </w:tc>
        <w:tc>
          <w:tcPr>
            <w:tcW w:type="dxa" w:w="980"/>
            <w:tcBorders>
              <w:top w:val="single" w:color="BFBFBF" w:sz="1"/>
              <w:left w:val="single" w:color="BFBFBF" w:sz="1"/>
              <w:bottom w:val="single" w:color="BFBFBF" w:sz="1"/>
              <w:right w:val="single" w:color="BFBFBF" w:sz="1"/>
            </w:tcBorders>
            <w:tcMar>
              <w:top w:type="dxa" w:w="70"/>
              <w:left w:type="dxa" w:w="100"/>
              <w:bottom w:type="dxa" w:w="70"/>
              <w:right w:type="dxa" w:w="100"/>
            </w:tcMar>
            <w:vAlign w:val="center"/>
          </w:tcPr>
          <w:p>
            <w:pPr>
              <w:spacing w:after="30" w:line="250"/>
              <w:jc w:val="center"/>
            </w:pPr>
            <w:r>
              <w:rPr>
                <w:b w:val="false"/>
                <w:bCs w:val="false"/>
                <w:sz w:val="18"/>
                <w:szCs w:val="18"/>
              </w:rPr>
              <w:t xml:space="preserve">—</w:t>
            </w:r>
          </w:p>
        </w:tc>
        <w:tc>
          <w:tcPr>
            <w:tcW w:type="dxa" w:w="940"/>
            <w:tcBorders>
              <w:top w:val="single" w:color="BFBFBF" w:sz="1"/>
              <w:left w:val="single" w:color="BFBFBF" w:sz="1"/>
              <w:bottom w:val="single" w:color="BFBFBF" w:sz="1"/>
              <w:right w:val="single" w:color="BFBFBF" w:sz="1"/>
            </w:tcBorders>
            <w:tcMar>
              <w:top w:type="dxa" w:w="70"/>
              <w:left w:type="dxa" w:w="100"/>
              <w:bottom w:type="dxa" w:w="70"/>
              <w:right w:type="dxa" w:w="100"/>
            </w:tcMar>
            <w:vAlign w:val="center"/>
          </w:tcPr>
          <w:p>
            <w:pPr>
              <w:spacing w:after="30" w:line="250"/>
              <w:jc w:val="center"/>
            </w:pPr>
            <w:r>
              <w:rPr>
                <w:b w:val="false"/>
                <w:bCs w:val="false"/>
                <w:color w:val="B02A2A"/>
                <w:sz w:val="18"/>
                <w:szCs w:val="18"/>
              </w:rPr>
              <w:t xml:space="preserve">✗</w:t>
            </w:r>
          </w:p>
        </w:tc>
        <w:tc>
          <w:tcPr>
            <w:tcW w:type="dxa" w:w="1020"/>
            <w:tcBorders>
              <w:top w:val="single" w:color="BFBFBF" w:sz="1"/>
              <w:left w:val="single" w:color="BFBFBF" w:sz="1"/>
              <w:bottom w:val="single" w:color="BFBFBF" w:sz="1"/>
              <w:right w:val="single" w:color="BFBFBF" w:sz="1"/>
            </w:tcBorders>
            <w:tcMar>
              <w:top w:type="dxa" w:w="70"/>
              <w:left w:type="dxa" w:w="100"/>
              <w:bottom w:type="dxa" w:w="70"/>
              <w:right w:type="dxa" w:w="100"/>
            </w:tcMar>
            <w:vAlign w:val="center"/>
          </w:tcPr>
          <w:p>
            <w:pPr>
              <w:spacing w:after="30" w:line="250"/>
              <w:jc w:val="center"/>
            </w:pPr>
            <w:r>
              <w:rPr>
                <w:b w:val="false"/>
                <w:bCs w:val="false"/>
                <w:color w:val="B02A2A"/>
                <w:sz w:val="18"/>
                <w:szCs w:val="18"/>
              </w:rPr>
              <w:t xml:space="preserve">✗</w:t>
            </w:r>
          </w:p>
        </w:tc>
        <w:tc>
          <w:tcPr>
            <w:tcW w:type="dxa" w:w="1020"/>
            <w:tcBorders>
              <w:top w:val="single" w:color="BFBFBF" w:sz="1"/>
              <w:left w:val="single" w:color="BFBFBF" w:sz="1"/>
              <w:bottom w:val="single" w:color="BFBFBF" w:sz="1"/>
              <w:right w:val="single" w:color="BFBFBF" w:sz="1"/>
            </w:tcBorders>
            <w:tcMar>
              <w:top w:type="dxa" w:w="70"/>
              <w:left w:type="dxa" w:w="100"/>
              <w:bottom w:type="dxa" w:w="70"/>
              <w:right w:type="dxa" w:w="100"/>
            </w:tcMar>
            <w:vAlign w:val="center"/>
          </w:tcPr>
          <w:p>
            <w:pPr>
              <w:spacing w:after="30" w:line="250"/>
              <w:jc w:val="center"/>
            </w:pPr>
            <w:r>
              <w:rPr>
                <w:b w:val="false"/>
                <w:bCs w:val="false"/>
                <w:sz w:val="18"/>
                <w:szCs w:val="18"/>
              </w:rPr>
              <w:t xml:space="preserve">—</w:t>
            </w:r>
          </w:p>
        </w:tc>
        <w:tc>
          <w:tcPr>
            <w:tcW w:type="dxa" w:w="1240"/>
            <w:tcBorders>
              <w:top w:val="single" w:color="BFBFBF" w:sz="1"/>
              <w:left w:val="single" w:color="BFBFBF" w:sz="1"/>
              <w:bottom w:val="single" w:color="BFBFBF" w:sz="1"/>
              <w:right w:val="single" w:color="BFBFBF" w:sz="1"/>
            </w:tcBorders>
            <w:tcMar>
              <w:top w:type="dxa" w:w="70"/>
              <w:left w:type="dxa" w:w="100"/>
              <w:bottom w:type="dxa" w:w="70"/>
              <w:right w:type="dxa" w:w="100"/>
            </w:tcMar>
            <w:vAlign w:val="center"/>
          </w:tcPr>
          <w:p>
            <w:pPr>
              <w:spacing w:after="30" w:line="250"/>
              <w:jc w:val="left"/>
            </w:pPr>
            <w:r>
              <w:rPr>
                <w:b w:val="false"/>
                <w:bCs w:val="false"/>
                <w:sz w:val="18"/>
                <w:szCs w:val="18"/>
              </w:rPr>
              <w:t xml:space="preserve">Generation quality</w:t>
            </w:r>
          </w:p>
        </w:tc>
      </w:tr>
      <w:tr>
        <w:tc>
          <w:tcPr>
            <w:tcW w:type="dxa" w:w="1740"/>
            <w:tcBorders>
              <w:top w:val="single" w:color="BFBFBF" w:sz="1"/>
              <w:left w:val="single" w:color="BFBFBF" w:sz="1"/>
              <w:bottom w:val="single" w:color="BFBFBF" w:sz="1"/>
              <w:right w:val="single" w:color="BFBFBF" w:sz="1"/>
            </w:tcBorders>
            <w:shd w:fill="F4F6FA" w:val="clear"/>
            <w:tcMar>
              <w:top w:type="dxa" w:w="70"/>
              <w:left w:type="dxa" w:w="100"/>
              <w:bottom w:type="dxa" w:w="70"/>
              <w:right w:type="dxa" w:w="100"/>
            </w:tcMar>
            <w:vAlign w:val="center"/>
          </w:tcPr>
          <w:p>
            <w:pPr>
              <w:spacing w:after="30" w:line="250"/>
              <w:jc w:val="left"/>
            </w:pPr>
            <w:r>
              <w:rPr>
                <w:b/>
                <w:bCs/>
                <w:sz w:val="18"/>
                <w:szCs w:val="18"/>
              </w:rPr>
              <w:t xml:space="preserve">CADSmith</w:t>
            </w:r>
          </w:p>
        </w:tc>
        <w:tc>
          <w:tcPr>
            <w:tcW w:type="dxa" w:w="980"/>
            <w:tcBorders>
              <w:top w:val="single" w:color="BFBFBF" w:sz="1"/>
              <w:left w:val="single" w:color="BFBFBF" w:sz="1"/>
              <w:bottom w:val="single" w:color="BFBFBF" w:sz="1"/>
              <w:right w:val="single" w:color="BFBFBF" w:sz="1"/>
            </w:tcBorders>
            <w:shd w:fill="F4F6FA" w:val="clear"/>
            <w:tcMar>
              <w:top w:type="dxa" w:w="70"/>
              <w:left w:type="dxa" w:w="100"/>
              <w:bottom w:type="dxa" w:w="70"/>
              <w:right w:type="dxa" w:w="100"/>
            </w:tcMar>
            <w:vAlign w:val="center"/>
          </w:tcPr>
          <w:p>
            <w:pPr>
              <w:spacing w:after="30" w:line="250"/>
              <w:jc w:val="center"/>
            </w:pPr>
            <w:r>
              <w:rPr>
                <w:b w:val="false"/>
                <w:bCs w:val="false"/>
                <w:sz w:val="18"/>
                <w:szCs w:val="18"/>
              </w:rPr>
              <w:t xml:space="preserve">—</w:t>
            </w:r>
          </w:p>
        </w:tc>
        <w:tc>
          <w:tcPr>
            <w:tcW w:type="dxa" w:w="880"/>
            <w:tcBorders>
              <w:top w:val="single" w:color="BFBFBF" w:sz="1"/>
              <w:left w:val="single" w:color="BFBFBF" w:sz="1"/>
              <w:bottom w:val="single" w:color="BFBFBF" w:sz="1"/>
              <w:right w:val="single" w:color="BFBFBF" w:sz="1"/>
            </w:tcBorders>
            <w:shd w:fill="F4F6FA" w:val="clear"/>
            <w:tcMar>
              <w:top w:type="dxa" w:w="70"/>
              <w:left w:type="dxa" w:w="100"/>
              <w:bottom w:type="dxa" w:w="70"/>
              <w:right w:type="dxa" w:w="100"/>
            </w:tcMar>
            <w:vAlign w:val="center"/>
          </w:tcPr>
          <w:p>
            <w:pPr>
              <w:spacing w:after="30" w:line="250"/>
              <w:jc w:val="center"/>
            </w:pPr>
            <w:r>
              <w:rPr>
                <w:b w:val="false"/>
                <w:bCs w:val="false"/>
                <w:color w:val="B02A2A"/>
                <w:sz w:val="18"/>
                <w:szCs w:val="18"/>
              </w:rPr>
              <w:t xml:space="preserve">✗</w:t>
            </w:r>
          </w:p>
        </w:tc>
        <w:tc>
          <w:tcPr>
            <w:tcW w:type="dxa" w:w="980"/>
            <w:tcBorders>
              <w:top w:val="single" w:color="BFBFBF" w:sz="1"/>
              <w:left w:val="single" w:color="BFBFBF" w:sz="1"/>
              <w:bottom w:val="single" w:color="BFBFBF" w:sz="1"/>
              <w:right w:val="single" w:color="BFBFBF" w:sz="1"/>
            </w:tcBorders>
            <w:shd w:fill="F4F6FA" w:val="clear"/>
            <w:tcMar>
              <w:top w:type="dxa" w:w="70"/>
              <w:left w:type="dxa" w:w="100"/>
              <w:bottom w:type="dxa" w:w="70"/>
              <w:right w:type="dxa" w:w="100"/>
            </w:tcMar>
            <w:vAlign w:val="center"/>
          </w:tcPr>
          <w:p>
            <w:pPr>
              <w:spacing w:after="30" w:line="250"/>
              <w:jc w:val="center"/>
            </w:pPr>
            <w:r>
              <w:rPr>
                <w:b w:val="false"/>
                <w:bCs w:val="false"/>
                <w:color w:val="B02A2A"/>
                <w:sz w:val="18"/>
                <w:szCs w:val="18"/>
              </w:rPr>
              <w:t xml:space="preserve">✗</w:t>
            </w:r>
          </w:p>
        </w:tc>
        <w:tc>
          <w:tcPr>
            <w:tcW w:type="dxa" w:w="940"/>
            <w:tcBorders>
              <w:top w:val="single" w:color="BFBFBF" w:sz="1"/>
              <w:left w:val="single" w:color="BFBFBF" w:sz="1"/>
              <w:bottom w:val="single" w:color="BFBFBF" w:sz="1"/>
              <w:right w:val="single" w:color="BFBFBF" w:sz="1"/>
            </w:tcBorders>
            <w:shd w:fill="F4F6FA" w:val="clear"/>
            <w:tcMar>
              <w:top w:type="dxa" w:w="70"/>
              <w:left w:type="dxa" w:w="100"/>
              <w:bottom w:type="dxa" w:w="70"/>
              <w:right w:type="dxa" w:w="100"/>
            </w:tcMar>
            <w:vAlign w:val="center"/>
          </w:tcPr>
          <w:p>
            <w:pPr>
              <w:spacing w:after="30" w:line="250"/>
              <w:jc w:val="center"/>
            </w:pPr>
            <w:r>
              <w:rPr>
                <w:b w:val="false"/>
                <w:bCs w:val="false"/>
                <w:color w:val="B02A2A"/>
                <w:sz w:val="18"/>
                <w:szCs w:val="18"/>
              </w:rPr>
              <w:t xml:space="preserve">✗</w:t>
            </w:r>
          </w:p>
        </w:tc>
        <w:tc>
          <w:tcPr>
            <w:tcW w:type="dxa" w:w="1020"/>
            <w:tcBorders>
              <w:top w:val="single" w:color="BFBFBF" w:sz="1"/>
              <w:left w:val="single" w:color="BFBFBF" w:sz="1"/>
              <w:bottom w:val="single" w:color="BFBFBF" w:sz="1"/>
              <w:right w:val="single" w:color="BFBFBF" w:sz="1"/>
            </w:tcBorders>
            <w:shd w:fill="F4F6FA" w:val="clear"/>
            <w:tcMar>
              <w:top w:type="dxa" w:w="70"/>
              <w:left w:type="dxa" w:w="100"/>
              <w:bottom w:type="dxa" w:w="70"/>
              <w:right w:type="dxa" w:w="100"/>
            </w:tcMar>
            <w:vAlign w:val="center"/>
          </w:tcPr>
          <w:p>
            <w:pPr>
              <w:spacing w:after="30" w:line="250"/>
              <w:jc w:val="center"/>
            </w:pPr>
            <w:r>
              <w:rPr>
                <w:b w:val="false"/>
                <w:bCs w:val="false"/>
                <w:color w:val="B02A2A"/>
                <w:sz w:val="18"/>
                <w:szCs w:val="18"/>
              </w:rPr>
              <w:t xml:space="preserve">✗</w:t>
            </w:r>
          </w:p>
        </w:tc>
        <w:tc>
          <w:tcPr>
            <w:tcW w:type="dxa" w:w="1020"/>
            <w:tcBorders>
              <w:top w:val="single" w:color="BFBFBF" w:sz="1"/>
              <w:left w:val="single" w:color="BFBFBF" w:sz="1"/>
              <w:bottom w:val="single" w:color="BFBFBF" w:sz="1"/>
              <w:right w:val="single" w:color="BFBFBF" w:sz="1"/>
            </w:tcBorders>
            <w:shd w:fill="F4F6FA" w:val="clear"/>
            <w:tcMar>
              <w:top w:type="dxa" w:w="70"/>
              <w:left w:type="dxa" w:w="100"/>
              <w:bottom w:type="dxa" w:w="70"/>
              <w:right w:type="dxa" w:w="100"/>
            </w:tcMar>
            <w:vAlign w:val="center"/>
          </w:tcPr>
          <w:p>
            <w:pPr>
              <w:spacing w:after="30" w:line="250"/>
              <w:jc w:val="center"/>
            </w:pPr>
            <w:r>
              <w:rPr>
                <w:b w:val="false"/>
                <w:bCs w:val="false"/>
                <w:color w:val="B02A2A"/>
                <w:sz w:val="18"/>
                <w:szCs w:val="18"/>
              </w:rPr>
              <w:t xml:space="preserve">✗</w:t>
            </w:r>
          </w:p>
        </w:tc>
        <w:tc>
          <w:tcPr>
            <w:tcW w:type="dxa" w:w="1240"/>
            <w:tcBorders>
              <w:top w:val="single" w:color="BFBFBF" w:sz="1"/>
              <w:left w:val="single" w:color="BFBFBF" w:sz="1"/>
              <w:bottom w:val="single" w:color="BFBFBF" w:sz="1"/>
              <w:right w:val="single" w:color="BFBFBF" w:sz="1"/>
            </w:tcBorders>
            <w:shd w:fill="F4F6FA" w:val="clear"/>
            <w:tcMar>
              <w:top w:type="dxa" w:w="70"/>
              <w:left w:type="dxa" w:w="100"/>
              <w:bottom w:type="dxa" w:w="70"/>
              <w:right w:type="dxa" w:w="100"/>
            </w:tcMar>
            <w:vAlign w:val="center"/>
          </w:tcPr>
          <w:p>
            <w:pPr>
              <w:spacing w:after="30" w:line="250"/>
              <w:jc w:val="left"/>
            </w:pPr>
            <w:r>
              <w:rPr>
                <w:b w:val="false"/>
                <w:bCs w:val="false"/>
                <w:sz w:val="18"/>
                <w:szCs w:val="18"/>
              </w:rPr>
              <w:t xml:space="preserve">Geometric validation</w:t>
            </w:r>
          </w:p>
        </w:tc>
      </w:tr>
      <w:tr>
        <w:tc>
          <w:tcPr>
            <w:tcW w:type="dxa" w:w="1740"/>
            <w:tcBorders>
              <w:top w:val="single" w:color="BFBFBF" w:sz="1"/>
              <w:left w:val="single" w:color="BFBFBF" w:sz="1"/>
              <w:bottom w:val="single" w:color="BFBFBF" w:sz="1"/>
              <w:right w:val="single" w:color="BFBFBF" w:sz="1"/>
            </w:tcBorders>
            <w:tcMar>
              <w:top w:type="dxa" w:w="70"/>
              <w:left w:type="dxa" w:w="100"/>
              <w:bottom w:type="dxa" w:w="70"/>
              <w:right w:type="dxa" w:w="100"/>
            </w:tcMar>
            <w:vAlign w:val="center"/>
          </w:tcPr>
          <w:p>
            <w:pPr>
              <w:spacing w:after="30" w:line="250"/>
              <w:jc w:val="left"/>
            </w:pPr>
            <w:r>
              <w:rPr>
                <w:b/>
                <w:bCs/>
                <w:sz w:val="18"/>
                <w:szCs w:val="18"/>
              </w:rPr>
              <w:t xml:space="preserve">FreeCAD-MCP projects</w:t>
            </w:r>
          </w:p>
        </w:tc>
        <w:tc>
          <w:tcPr>
            <w:tcW w:type="dxa" w:w="980"/>
            <w:tcBorders>
              <w:top w:val="single" w:color="BFBFBF" w:sz="1"/>
              <w:left w:val="single" w:color="BFBFBF" w:sz="1"/>
              <w:bottom w:val="single" w:color="BFBFBF" w:sz="1"/>
              <w:right w:val="single" w:color="BFBFBF" w:sz="1"/>
            </w:tcBorders>
            <w:tcMar>
              <w:top w:type="dxa" w:w="70"/>
              <w:left w:type="dxa" w:w="100"/>
              <w:bottom w:type="dxa" w:w="70"/>
              <w:right w:type="dxa" w:w="100"/>
            </w:tcMar>
            <w:vAlign w:val="center"/>
          </w:tcPr>
          <w:p>
            <w:pPr>
              <w:spacing w:after="30" w:line="250"/>
              <w:jc w:val="center"/>
            </w:pPr>
            <w:r>
              <w:rPr>
                <w:b w:val="false"/>
                <w:bCs w:val="false"/>
                <w:color w:val="1E7B34"/>
                <w:sz w:val="18"/>
                <w:szCs w:val="18"/>
              </w:rPr>
              <w:t xml:space="preserve">✓</w:t>
            </w:r>
          </w:p>
        </w:tc>
        <w:tc>
          <w:tcPr>
            <w:tcW w:type="dxa" w:w="880"/>
            <w:tcBorders>
              <w:top w:val="single" w:color="BFBFBF" w:sz="1"/>
              <w:left w:val="single" w:color="BFBFBF" w:sz="1"/>
              <w:bottom w:val="single" w:color="BFBFBF" w:sz="1"/>
              <w:right w:val="single" w:color="BFBFBF" w:sz="1"/>
            </w:tcBorders>
            <w:tcMar>
              <w:top w:type="dxa" w:w="70"/>
              <w:left w:type="dxa" w:w="100"/>
              <w:bottom w:type="dxa" w:w="70"/>
              <w:right w:type="dxa" w:w="100"/>
            </w:tcMar>
            <w:vAlign w:val="center"/>
          </w:tcPr>
          <w:p>
            <w:pPr>
              <w:spacing w:after="30" w:line="250"/>
              <w:jc w:val="center"/>
            </w:pPr>
            <w:r>
              <w:rPr>
                <w:b w:val="false"/>
                <w:bCs w:val="false"/>
                <w:color w:val="B02A2A"/>
                <w:sz w:val="18"/>
                <w:szCs w:val="18"/>
              </w:rPr>
              <w:t xml:space="preserve">✗</w:t>
            </w:r>
          </w:p>
        </w:tc>
        <w:tc>
          <w:tcPr>
            <w:tcW w:type="dxa" w:w="980"/>
            <w:tcBorders>
              <w:top w:val="single" w:color="BFBFBF" w:sz="1"/>
              <w:left w:val="single" w:color="BFBFBF" w:sz="1"/>
              <w:bottom w:val="single" w:color="BFBFBF" w:sz="1"/>
              <w:right w:val="single" w:color="BFBFBF" w:sz="1"/>
            </w:tcBorders>
            <w:tcMar>
              <w:top w:type="dxa" w:w="70"/>
              <w:left w:type="dxa" w:w="100"/>
              <w:bottom w:type="dxa" w:w="70"/>
              <w:right w:type="dxa" w:w="100"/>
            </w:tcMar>
            <w:vAlign w:val="center"/>
          </w:tcPr>
          <w:p>
            <w:pPr>
              <w:spacing w:after="30" w:line="250"/>
              <w:jc w:val="center"/>
            </w:pPr>
            <w:r>
              <w:rPr>
                <w:b w:val="false"/>
                <w:bCs w:val="false"/>
                <w:color w:val="B02A2A"/>
                <w:sz w:val="18"/>
                <w:szCs w:val="18"/>
              </w:rPr>
              <w:t xml:space="preserve">✗</w:t>
            </w:r>
          </w:p>
        </w:tc>
        <w:tc>
          <w:tcPr>
            <w:tcW w:type="dxa" w:w="940"/>
            <w:tcBorders>
              <w:top w:val="single" w:color="BFBFBF" w:sz="1"/>
              <w:left w:val="single" w:color="BFBFBF" w:sz="1"/>
              <w:bottom w:val="single" w:color="BFBFBF" w:sz="1"/>
              <w:right w:val="single" w:color="BFBFBF" w:sz="1"/>
            </w:tcBorders>
            <w:tcMar>
              <w:top w:type="dxa" w:w="70"/>
              <w:left w:type="dxa" w:w="100"/>
              <w:bottom w:type="dxa" w:w="70"/>
              <w:right w:type="dxa" w:w="100"/>
            </w:tcMar>
            <w:vAlign w:val="center"/>
          </w:tcPr>
          <w:p>
            <w:pPr>
              <w:spacing w:after="30" w:line="250"/>
              <w:jc w:val="center"/>
            </w:pPr>
            <w:r>
              <w:rPr>
                <w:b w:val="false"/>
                <w:bCs w:val="false"/>
                <w:color w:val="B02A2A"/>
                <w:sz w:val="18"/>
                <w:szCs w:val="18"/>
              </w:rPr>
              <w:t xml:space="preserve">✗</w:t>
            </w:r>
          </w:p>
        </w:tc>
        <w:tc>
          <w:tcPr>
            <w:tcW w:type="dxa" w:w="1020"/>
            <w:tcBorders>
              <w:top w:val="single" w:color="BFBFBF" w:sz="1"/>
              <w:left w:val="single" w:color="BFBFBF" w:sz="1"/>
              <w:bottom w:val="single" w:color="BFBFBF" w:sz="1"/>
              <w:right w:val="single" w:color="BFBFBF" w:sz="1"/>
            </w:tcBorders>
            <w:tcMar>
              <w:top w:type="dxa" w:w="70"/>
              <w:left w:type="dxa" w:w="100"/>
              <w:bottom w:type="dxa" w:w="70"/>
              <w:right w:type="dxa" w:w="100"/>
            </w:tcMar>
            <w:vAlign w:val="center"/>
          </w:tcPr>
          <w:p>
            <w:pPr>
              <w:spacing w:after="30" w:line="250"/>
              <w:jc w:val="center"/>
            </w:pPr>
            <w:r>
              <w:rPr>
                <w:b w:val="false"/>
                <w:bCs w:val="false"/>
                <w:color w:val="B02A2A"/>
                <w:sz w:val="18"/>
                <w:szCs w:val="18"/>
              </w:rPr>
              <w:t xml:space="preserve">✗</w:t>
            </w:r>
          </w:p>
        </w:tc>
        <w:tc>
          <w:tcPr>
            <w:tcW w:type="dxa" w:w="1020"/>
            <w:tcBorders>
              <w:top w:val="single" w:color="BFBFBF" w:sz="1"/>
              <w:left w:val="single" w:color="BFBFBF" w:sz="1"/>
              <w:bottom w:val="single" w:color="BFBFBF" w:sz="1"/>
              <w:right w:val="single" w:color="BFBFBF" w:sz="1"/>
            </w:tcBorders>
            <w:tcMar>
              <w:top w:type="dxa" w:w="70"/>
              <w:left w:type="dxa" w:w="100"/>
              <w:bottom w:type="dxa" w:w="70"/>
              <w:right w:type="dxa" w:w="100"/>
            </w:tcMar>
            <w:vAlign w:val="center"/>
          </w:tcPr>
          <w:p>
            <w:pPr>
              <w:spacing w:after="30" w:line="250"/>
              <w:jc w:val="center"/>
            </w:pPr>
            <w:r>
              <w:rPr>
                <w:b w:val="false"/>
                <w:bCs w:val="false"/>
                <w:color w:val="B02A2A"/>
                <w:sz w:val="18"/>
                <w:szCs w:val="18"/>
              </w:rPr>
              <w:t xml:space="preserve">✗</w:t>
            </w:r>
          </w:p>
        </w:tc>
        <w:tc>
          <w:tcPr>
            <w:tcW w:type="dxa" w:w="1240"/>
            <w:tcBorders>
              <w:top w:val="single" w:color="BFBFBF" w:sz="1"/>
              <w:left w:val="single" w:color="BFBFBF" w:sz="1"/>
              <w:bottom w:val="single" w:color="BFBFBF" w:sz="1"/>
              <w:right w:val="single" w:color="BFBFBF" w:sz="1"/>
            </w:tcBorders>
            <w:tcMar>
              <w:top w:type="dxa" w:w="70"/>
              <w:left w:type="dxa" w:w="100"/>
              <w:bottom w:type="dxa" w:w="70"/>
              <w:right w:type="dxa" w:w="100"/>
            </w:tcMar>
            <w:vAlign w:val="center"/>
          </w:tcPr>
          <w:p>
            <w:pPr>
              <w:spacing w:after="30" w:line="250"/>
              <w:jc w:val="left"/>
            </w:pPr>
            <w:r>
              <w:rPr>
                <w:b w:val="false"/>
                <w:bCs w:val="false"/>
                <w:sz w:val="18"/>
                <w:szCs w:val="18"/>
              </w:rPr>
              <w:t xml:space="preserve">None / demo</w:t>
            </w:r>
          </w:p>
        </w:tc>
      </w:tr>
      <w:tr>
        <w:tc>
          <w:tcPr>
            <w:tcW w:type="dxa" w:w="1740"/>
            <w:tcBorders>
              <w:top w:val="single" w:color="BFBFBF" w:sz="1"/>
              <w:left w:val="single" w:color="BFBFBF" w:sz="1"/>
              <w:bottom w:val="single" w:color="BFBFBF" w:sz="1"/>
              <w:right w:val="single" w:color="BFBFBF" w:sz="1"/>
            </w:tcBorders>
            <w:shd w:fill="F4F6FA" w:val="clear"/>
            <w:tcMar>
              <w:top w:type="dxa" w:w="70"/>
              <w:left w:type="dxa" w:w="100"/>
              <w:bottom w:type="dxa" w:w="70"/>
              <w:right w:type="dxa" w:w="100"/>
            </w:tcMar>
            <w:vAlign w:val="center"/>
          </w:tcPr>
          <w:p>
            <w:pPr>
              <w:spacing w:after="30" w:line="250"/>
              <w:jc w:val="left"/>
            </w:pPr>
            <w:r>
              <w:rPr>
                <w:b/>
                <w:bCs/>
                <w:sz w:val="18"/>
                <w:szCs w:val="18"/>
              </w:rPr>
              <w:t xml:space="preserve">Zoo / AdamCAD (products)</w:t>
            </w:r>
          </w:p>
        </w:tc>
        <w:tc>
          <w:tcPr>
            <w:tcW w:type="dxa" w:w="980"/>
            <w:tcBorders>
              <w:top w:val="single" w:color="BFBFBF" w:sz="1"/>
              <w:left w:val="single" w:color="BFBFBF" w:sz="1"/>
              <w:bottom w:val="single" w:color="BFBFBF" w:sz="1"/>
              <w:right w:val="single" w:color="BFBFBF" w:sz="1"/>
            </w:tcBorders>
            <w:shd w:fill="F4F6FA" w:val="clear"/>
            <w:tcMar>
              <w:top w:type="dxa" w:w="70"/>
              <w:left w:type="dxa" w:w="100"/>
              <w:bottom w:type="dxa" w:w="70"/>
              <w:right w:type="dxa" w:w="100"/>
            </w:tcMar>
            <w:vAlign w:val="center"/>
          </w:tcPr>
          <w:p>
            <w:pPr>
              <w:spacing w:after="30" w:line="250"/>
              <w:jc w:val="center"/>
            </w:pPr>
            <w:r>
              <w:rPr>
                <w:b w:val="false"/>
                <w:bCs w:val="false"/>
                <w:color w:val="B02A2A"/>
                <w:sz w:val="18"/>
                <w:szCs w:val="18"/>
              </w:rPr>
              <w:t xml:space="preserve">✗</w:t>
            </w:r>
          </w:p>
        </w:tc>
        <w:tc>
          <w:tcPr>
            <w:tcW w:type="dxa" w:w="880"/>
            <w:tcBorders>
              <w:top w:val="single" w:color="BFBFBF" w:sz="1"/>
              <w:left w:val="single" w:color="BFBFBF" w:sz="1"/>
              <w:bottom w:val="single" w:color="BFBFBF" w:sz="1"/>
              <w:right w:val="single" w:color="BFBFBF" w:sz="1"/>
            </w:tcBorders>
            <w:shd w:fill="F4F6FA" w:val="clear"/>
            <w:tcMar>
              <w:top w:type="dxa" w:w="70"/>
              <w:left w:type="dxa" w:w="100"/>
              <w:bottom w:type="dxa" w:w="70"/>
              <w:right w:type="dxa" w:w="100"/>
            </w:tcMar>
            <w:vAlign w:val="center"/>
          </w:tcPr>
          <w:p>
            <w:pPr>
              <w:spacing w:after="30" w:line="250"/>
              <w:jc w:val="center"/>
            </w:pPr>
            <w:r>
              <w:rPr>
                <w:b w:val="false"/>
                <w:bCs w:val="false"/>
                <w:sz w:val="18"/>
                <w:szCs w:val="18"/>
              </w:rPr>
              <w:t xml:space="preserve">—</w:t>
            </w:r>
          </w:p>
        </w:tc>
        <w:tc>
          <w:tcPr>
            <w:tcW w:type="dxa" w:w="980"/>
            <w:tcBorders>
              <w:top w:val="single" w:color="BFBFBF" w:sz="1"/>
              <w:left w:val="single" w:color="BFBFBF" w:sz="1"/>
              <w:bottom w:val="single" w:color="BFBFBF" w:sz="1"/>
              <w:right w:val="single" w:color="BFBFBF" w:sz="1"/>
            </w:tcBorders>
            <w:shd w:fill="F4F6FA" w:val="clear"/>
            <w:tcMar>
              <w:top w:type="dxa" w:w="70"/>
              <w:left w:type="dxa" w:w="100"/>
              <w:bottom w:type="dxa" w:w="70"/>
              <w:right w:type="dxa" w:w="100"/>
            </w:tcMar>
            <w:vAlign w:val="center"/>
          </w:tcPr>
          <w:p>
            <w:pPr>
              <w:spacing w:after="30" w:line="250"/>
              <w:jc w:val="center"/>
            </w:pPr>
            <w:r>
              <w:rPr>
                <w:b w:val="false"/>
                <w:bCs w:val="false"/>
                <w:sz w:val="18"/>
                <w:szCs w:val="18"/>
              </w:rPr>
              <w:t xml:space="preserve">—</w:t>
            </w:r>
          </w:p>
        </w:tc>
        <w:tc>
          <w:tcPr>
            <w:tcW w:type="dxa" w:w="940"/>
            <w:tcBorders>
              <w:top w:val="single" w:color="BFBFBF" w:sz="1"/>
              <w:left w:val="single" w:color="BFBFBF" w:sz="1"/>
              <w:bottom w:val="single" w:color="BFBFBF" w:sz="1"/>
              <w:right w:val="single" w:color="BFBFBF" w:sz="1"/>
            </w:tcBorders>
            <w:shd w:fill="F4F6FA" w:val="clear"/>
            <w:tcMar>
              <w:top w:type="dxa" w:w="70"/>
              <w:left w:type="dxa" w:w="100"/>
              <w:bottom w:type="dxa" w:w="70"/>
              <w:right w:type="dxa" w:w="100"/>
            </w:tcMar>
            <w:vAlign w:val="center"/>
          </w:tcPr>
          <w:p>
            <w:pPr>
              <w:spacing w:after="30" w:line="250"/>
              <w:jc w:val="center"/>
            </w:pPr>
            <w:r>
              <w:rPr>
                <w:b w:val="false"/>
                <w:bCs w:val="false"/>
                <w:color w:val="B02A2A"/>
                <w:sz w:val="18"/>
                <w:szCs w:val="18"/>
              </w:rPr>
              <w:t xml:space="preserve">✗</w:t>
            </w:r>
          </w:p>
        </w:tc>
        <w:tc>
          <w:tcPr>
            <w:tcW w:type="dxa" w:w="1020"/>
            <w:tcBorders>
              <w:top w:val="single" w:color="BFBFBF" w:sz="1"/>
              <w:left w:val="single" w:color="BFBFBF" w:sz="1"/>
              <w:bottom w:val="single" w:color="BFBFBF" w:sz="1"/>
              <w:right w:val="single" w:color="BFBFBF" w:sz="1"/>
            </w:tcBorders>
            <w:shd w:fill="F4F6FA" w:val="clear"/>
            <w:tcMar>
              <w:top w:type="dxa" w:w="70"/>
              <w:left w:type="dxa" w:w="100"/>
              <w:bottom w:type="dxa" w:w="70"/>
              <w:right w:type="dxa" w:w="100"/>
            </w:tcMar>
            <w:vAlign w:val="center"/>
          </w:tcPr>
          <w:p>
            <w:pPr>
              <w:spacing w:after="30" w:line="250"/>
              <w:jc w:val="center"/>
            </w:pPr>
            <w:r>
              <w:rPr>
                <w:b w:val="false"/>
                <w:bCs w:val="false"/>
                <w:color w:val="B02A2A"/>
                <w:sz w:val="18"/>
                <w:szCs w:val="18"/>
              </w:rPr>
              <w:t xml:space="preserve">✗</w:t>
            </w:r>
          </w:p>
        </w:tc>
        <w:tc>
          <w:tcPr>
            <w:tcW w:type="dxa" w:w="1020"/>
            <w:tcBorders>
              <w:top w:val="single" w:color="BFBFBF" w:sz="1"/>
              <w:left w:val="single" w:color="BFBFBF" w:sz="1"/>
              <w:bottom w:val="single" w:color="BFBFBF" w:sz="1"/>
              <w:right w:val="single" w:color="BFBFBF" w:sz="1"/>
            </w:tcBorders>
            <w:shd w:fill="F4F6FA" w:val="clear"/>
            <w:tcMar>
              <w:top w:type="dxa" w:w="70"/>
              <w:left w:type="dxa" w:w="100"/>
              <w:bottom w:type="dxa" w:w="70"/>
              <w:right w:type="dxa" w:w="100"/>
            </w:tcMar>
            <w:vAlign w:val="center"/>
          </w:tcPr>
          <w:p>
            <w:pPr>
              <w:spacing w:after="30" w:line="250"/>
              <w:jc w:val="center"/>
            </w:pPr>
            <w:r>
              <w:rPr>
                <w:b w:val="false"/>
                <w:bCs w:val="false"/>
                <w:color w:val="B02A2A"/>
                <w:sz w:val="18"/>
                <w:szCs w:val="18"/>
              </w:rPr>
              <w:t xml:space="preserve">✗</w:t>
            </w:r>
          </w:p>
        </w:tc>
        <w:tc>
          <w:tcPr>
            <w:tcW w:type="dxa" w:w="1240"/>
            <w:tcBorders>
              <w:top w:val="single" w:color="BFBFBF" w:sz="1"/>
              <w:left w:val="single" w:color="BFBFBF" w:sz="1"/>
              <w:bottom w:val="single" w:color="BFBFBF" w:sz="1"/>
              <w:right w:val="single" w:color="BFBFBF" w:sz="1"/>
            </w:tcBorders>
            <w:shd w:fill="F4F6FA" w:val="clear"/>
            <w:tcMar>
              <w:top w:type="dxa" w:w="70"/>
              <w:left w:type="dxa" w:w="100"/>
              <w:bottom w:type="dxa" w:w="70"/>
              <w:right w:type="dxa" w:w="100"/>
            </w:tcMar>
            <w:vAlign w:val="center"/>
          </w:tcPr>
          <w:p>
            <w:pPr>
              <w:spacing w:after="30" w:line="250"/>
              <w:jc w:val="left"/>
            </w:pPr>
            <w:r>
              <w:rPr>
                <w:b w:val="false"/>
                <w:bCs w:val="false"/>
                <w:sz w:val="18"/>
                <w:szCs w:val="18"/>
              </w:rPr>
              <w:t xml:space="preserve">Commercial</w:t>
            </w:r>
          </w:p>
        </w:tc>
      </w:tr>
      <w:tr>
        <w:tc>
          <w:tcPr>
            <w:tcW w:type="dxa" w:w="1740"/>
            <w:tcBorders>
              <w:top w:val="single" w:color="BFBFBF" w:sz="1"/>
              <w:left w:val="single" w:color="BFBFBF" w:sz="1"/>
              <w:bottom w:val="single" w:color="BFBFBF" w:sz="1"/>
              <w:right w:val="single" w:color="BFBFBF" w:sz="1"/>
            </w:tcBorders>
            <w:tcMar>
              <w:top w:type="dxa" w:w="70"/>
              <w:left w:type="dxa" w:w="100"/>
              <w:bottom w:type="dxa" w:w="70"/>
              <w:right w:type="dxa" w:w="100"/>
            </w:tcMar>
            <w:vAlign w:val="center"/>
          </w:tcPr>
          <w:p>
            <w:pPr>
              <w:spacing w:after="30" w:line="250"/>
              <w:jc w:val="left"/>
            </w:pPr>
            <w:r>
              <w:rPr>
                <w:b/>
                <w:bCs/>
                <w:sz w:val="18"/>
                <w:szCs w:val="18"/>
              </w:rPr>
              <w:t xml:space="preserve">Proposed system</w:t>
            </w:r>
          </w:p>
        </w:tc>
        <w:tc>
          <w:tcPr>
            <w:tcW w:type="dxa" w:w="980"/>
            <w:tcBorders>
              <w:top w:val="single" w:color="BFBFBF" w:sz="1"/>
              <w:left w:val="single" w:color="BFBFBF" w:sz="1"/>
              <w:bottom w:val="single" w:color="BFBFBF" w:sz="1"/>
              <w:right w:val="single" w:color="BFBFBF" w:sz="1"/>
            </w:tcBorders>
            <w:tcMar>
              <w:top w:type="dxa" w:w="70"/>
              <w:left w:type="dxa" w:w="100"/>
              <w:bottom w:type="dxa" w:w="70"/>
              <w:right w:type="dxa" w:w="100"/>
            </w:tcMar>
            <w:vAlign w:val="center"/>
          </w:tcPr>
          <w:p>
            <w:pPr>
              <w:spacing w:after="30" w:line="250"/>
              <w:jc w:val="center"/>
            </w:pPr>
            <w:r>
              <w:rPr>
                <w:b w:val="false"/>
                <w:bCs w:val="false"/>
                <w:color w:val="1E7B34"/>
                <w:sz w:val="18"/>
                <w:szCs w:val="18"/>
              </w:rPr>
              <w:t xml:space="preserve">✓</w:t>
            </w:r>
          </w:p>
        </w:tc>
        <w:tc>
          <w:tcPr>
            <w:tcW w:type="dxa" w:w="880"/>
            <w:tcBorders>
              <w:top w:val="single" w:color="BFBFBF" w:sz="1"/>
              <w:left w:val="single" w:color="BFBFBF" w:sz="1"/>
              <w:bottom w:val="single" w:color="BFBFBF" w:sz="1"/>
              <w:right w:val="single" w:color="BFBFBF" w:sz="1"/>
            </w:tcBorders>
            <w:tcMar>
              <w:top w:type="dxa" w:w="70"/>
              <w:left w:type="dxa" w:w="100"/>
              <w:bottom w:type="dxa" w:w="70"/>
              <w:right w:type="dxa" w:w="100"/>
            </w:tcMar>
            <w:vAlign w:val="center"/>
          </w:tcPr>
          <w:p>
            <w:pPr>
              <w:spacing w:after="30" w:line="250"/>
              <w:jc w:val="center"/>
            </w:pPr>
            <w:r>
              <w:rPr>
                <w:b w:val="false"/>
                <w:bCs w:val="false"/>
                <w:color w:val="1E7B34"/>
                <w:sz w:val="18"/>
                <w:szCs w:val="18"/>
              </w:rPr>
              <w:t xml:space="preserve">✓</w:t>
            </w:r>
          </w:p>
        </w:tc>
        <w:tc>
          <w:tcPr>
            <w:tcW w:type="dxa" w:w="980"/>
            <w:tcBorders>
              <w:top w:val="single" w:color="BFBFBF" w:sz="1"/>
              <w:left w:val="single" w:color="BFBFBF" w:sz="1"/>
              <w:bottom w:val="single" w:color="BFBFBF" w:sz="1"/>
              <w:right w:val="single" w:color="BFBFBF" w:sz="1"/>
            </w:tcBorders>
            <w:tcMar>
              <w:top w:type="dxa" w:w="70"/>
              <w:left w:type="dxa" w:w="100"/>
              <w:bottom w:type="dxa" w:w="70"/>
              <w:right w:type="dxa" w:w="100"/>
            </w:tcMar>
            <w:vAlign w:val="center"/>
          </w:tcPr>
          <w:p>
            <w:pPr>
              <w:spacing w:after="30" w:line="250"/>
              <w:jc w:val="center"/>
            </w:pPr>
            <w:r>
              <w:rPr>
                <w:b w:val="false"/>
                <w:bCs w:val="false"/>
                <w:color w:val="1E7B34"/>
                <w:sz w:val="18"/>
                <w:szCs w:val="18"/>
              </w:rPr>
              <w:t xml:space="preserve">✓</w:t>
            </w:r>
          </w:p>
        </w:tc>
        <w:tc>
          <w:tcPr>
            <w:tcW w:type="dxa" w:w="940"/>
            <w:tcBorders>
              <w:top w:val="single" w:color="BFBFBF" w:sz="1"/>
              <w:left w:val="single" w:color="BFBFBF" w:sz="1"/>
              <w:bottom w:val="single" w:color="BFBFBF" w:sz="1"/>
              <w:right w:val="single" w:color="BFBFBF" w:sz="1"/>
            </w:tcBorders>
            <w:tcMar>
              <w:top w:type="dxa" w:w="70"/>
              <w:left w:type="dxa" w:w="100"/>
              <w:bottom w:type="dxa" w:w="70"/>
              <w:right w:type="dxa" w:w="100"/>
            </w:tcMar>
            <w:vAlign w:val="center"/>
          </w:tcPr>
          <w:p>
            <w:pPr>
              <w:spacing w:after="30" w:line="250"/>
              <w:jc w:val="center"/>
            </w:pPr>
            <w:r>
              <w:rPr>
                <w:b w:val="false"/>
                <w:bCs w:val="false"/>
                <w:color w:val="1E7B34"/>
                <w:sz w:val="18"/>
                <w:szCs w:val="18"/>
              </w:rPr>
              <w:t xml:space="preserve">✓</w:t>
            </w:r>
          </w:p>
        </w:tc>
        <w:tc>
          <w:tcPr>
            <w:tcW w:type="dxa" w:w="1020"/>
            <w:tcBorders>
              <w:top w:val="single" w:color="BFBFBF" w:sz="1"/>
              <w:left w:val="single" w:color="BFBFBF" w:sz="1"/>
              <w:bottom w:val="single" w:color="BFBFBF" w:sz="1"/>
              <w:right w:val="single" w:color="BFBFBF" w:sz="1"/>
            </w:tcBorders>
            <w:tcMar>
              <w:top w:type="dxa" w:w="70"/>
              <w:left w:type="dxa" w:w="100"/>
              <w:bottom w:type="dxa" w:w="70"/>
              <w:right w:type="dxa" w:w="100"/>
            </w:tcMar>
            <w:vAlign w:val="center"/>
          </w:tcPr>
          <w:p>
            <w:pPr>
              <w:spacing w:after="30" w:line="250"/>
              <w:jc w:val="center"/>
            </w:pPr>
            <w:r>
              <w:rPr>
                <w:b w:val="false"/>
                <w:bCs w:val="false"/>
                <w:color w:val="1E7B34"/>
                <w:sz w:val="18"/>
                <w:szCs w:val="18"/>
              </w:rPr>
              <w:t xml:space="preserve">✓</w:t>
            </w:r>
          </w:p>
        </w:tc>
        <w:tc>
          <w:tcPr>
            <w:tcW w:type="dxa" w:w="1020"/>
            <w:tcBorders>
              <w:top w:val="single" w:color="BFBFBF" w:sz="1"/>
              <w:left w:val="single" w:color="BFBFBF" w:sz="1"/>
              <w:bottom w:val="single" w:color="BFBFBF" w:sz="1"/>
              <w:right w:val="single" w:color="BFBFBF" w:sz="1"/>
            </w:tcBorders>
            <w:tcMar>
              <w:top w:type="dxa" w:w="70"/>
              <w:left w:type="dxa" w:w="100"/>
              <w:bottom w:type="dxa" w:w="70"/>
              <w:right w:type="dxa" w:w="100"/>
            </w:tcMar>
            <w:vAlign w:val="center"/>
          </w:tcPr>
          <w:p>
            <w:pPr>
              <w:spacing w:after="30" w:line="250"/>
              <w:jc w:val="center"/>
            </w:pPr>
            <w:r>
              <w:rPr>
                <w:b w:val="false"/>
                <w:bCs w:val="false"/>
                <w:color w:val="1E7B34"/>
                <w:sz w:val="18"/>
                <w:szCs w:val="18"/>
              </w:rPr>
              <w:t xml:space="preserve">✓</w:t>
            </w:r>
          </w:p>
        </w:tc>
        <w:tc>
          <w:tcPr>
            <w:tcW w:type="dxa" w:w="1240"/>
            <w:tcBorders>
              <w:top w:val="single" w:color="BFBFBF" w:sz="1"/>
              <w:left w:val="single" w:color="BFBFBF" w:sz="1"/>
              <w:bottom w:val="single" w:color="BFBFBF" w:sz="1"/>
              <w:right w:val="single" w:color="BFBFBF" w:sz="1"/>
            </w:tcBorders>
            <w:tcMar>
              <w:top w:type="dxa" w:w="70"/>
              <w:left w:type="dxa" w:w="100"/>
              <w:bottom w:type="dxa" w:w="70"/>
              <w:right w:type="dxa" w:w="100"/>
            </w:tcMar>
            <w:vAlign w:val="center"/>
          </w:tcPr>
          <w:p>
            <w:pPr>
              <w:spacing w:after="30" w:line="250"/>
              <w:jc w:val="left"/>
            </w:pPr>
            <w:r>
              <w:rPr>
                <w:b w:val="false"/>
                <w:bCs w:val="false"/>
                <w:sz w:val="18"/>
                <w:szCs w:val="18"/>
              </w:rPr>
              <w:t xml:space="preserve">Benchmark + ablation</w:t>
            </w:r>
          </w:p>
        </w:tc>
      </w:tr>
    </w:tbl>
    <w:p>
      <w:pPr>
        <w:spacing w:after="150"/>
      </w:pPr>
    </w:p>
    <w:p>
      <w:pPr>
        <w:spacing w:after="160" w:line="300"/>
        <w:jc w:val="both"/>
      </w:pPr>
      <w:r>
        <w:t xml:space="preserve">The partial marks deserve a note: CADDesigner is marked partial on “open CAD platform” (it generates code rather than driving a full interactive modeller), on “human confirm step” (it uses dialogue-based refinement but not a gated pre-execution plan), and on “memory” (a design-case store without a controlled ablation). Commercial products are marked partial on privacy because they offer contractual, not architectural, guarantees.</w:t>
      </w:r>
    </w:p>
    <w:p>
      <w:pPr>
        <w:pStyle w:val="Heading1"/>
      </w:pPr>
      <w:r>
        <w:t xml:space="preserve">9. Realistically Achievable Outcomes</w:t>
      </w:r>
    </w:p>
    <w:p>
      <w:pPr>
        <w:spacing w:after="160" w:line="300"/>
        <w:jc w:val="both"/>
      </w:pPr>
      <w:r>
        <w:t xml:space="preserve">Expectations should be set honestly with the supervisor. The project will not match Zoo or AdamCAD on raw generation quality from vague prompts — those products rely on fine-tuned models, proprietary kernels, and engineering teams. It will also not beat GPT-4-driven academic systems on fully autonomous success rate, because the local planner is a quantised open-weight model. These are not the project’s competitive axes.</w:t>
      </w:r>
    </w:p>
    <w:p>
      <w:pPr>
        <w:spacing w:after="160" w:line="300"/>
        <w:jc w:val="both"/>
      </w:pPr>
      <w:r>
        <w:t xml:space="preserve">What is credibly achievable in 40 days:</w:t>
      </w:r>
    </w:p>
    <w:p>
      <w:pPr>
        <w:pStyle w:val="ListParagraph"/>
        <w:numPr>
          <w:ilvl w:val="0"/>
          <w:numId w:val="2"/>
        </w:numPr>
        <w:spacing w:after="90" w:line="290"/>
        <w:jc w:val="both"/>
      </w:pPr>
      <w:r>
        <w:t xml:space="preserve">A working end-to-end system on parts of low-to-moderate complexity — prismatic bodies, holes, patterns, fillets, and revolved features — roughly the DeepCAD / Text2CAD complexity band.</w:t>
      </w:r>
    </w:p>
    <w:p>
      <w:pPr>
        <w:pStyle w:val="ListParagraph"/>
        <w:numPr>
          <w:ilvl w:val="0"/>
          <w:numId w:val="2"/>
        </w:numPr>
        <w:spacing w:after="90" w:line="290"/>
        <w:jc w:val="both"/>
      </w:pPr>
      <w:r>
        <w:t xml:space="preserve">Near-complete assisted success on the project’s own benchmark, because the confirmation checkpoint converts model errors into inexpensive user edits. The headline metric therefore becomes interventions required and recovery rate, not raw autonomy — which is also the more honest and more interesting measurement.</w:t>
      </w:r>
    </w:p>
    <w:p>
      <w:pPr>
        <w:pStyle w:val="ListParagraph"/>
        <w:numPr>
          <w:ilvl w:val="0"/>
          <w:numId w:val="2"/>
        </w:numPr>
        <w:spacing w:after="90" w:line="290"/>
        <w:jc w:val="both"/>
      </w:pPr>
      <w:r>
        <w:t xml:space="preserve">A demonstrated FEA / thermal workflow on simple load cases, two verified toolroom syntheses checked against analytical solutions, one documented infeasible request with a structured capability report, and a statistically meaningful memory on/off ablation.</w:t>
      </w:r>
    </w:p>
    <w:p>
      <w:pPr>
        <w:pStyle w:val="ListParagraph"/>
        <w:numPr>
          <w:ilvl w:val="0"/>
          <w:numId w:val="2"/>
        </w:numPr>
        <w:spacing w:after="90" w:line="290"/>
        <w:jc w:val="both"/>
      </w:pPr>
      <w:r>
        <w:t xml:space="preserve">Verifiable offline operation, demonstrating the architectural-privacy claim directly.</w:t>
      </w:r>
    </w:p>
    <w:p>
      <w:pPr>
        <w:spacing w:after="160" w:line="300"/>
        <w:jc w:val="both"/>
      </w:pPr>
      <w:r>
        <w:rPr>
          <w:b/>
          <w:bCs/>
        </w:rPr>
        <w:t xml:space="preserve">Positioning statement. </w:t>
      </w:r>
      <w:r>
        <w:t xml:space="preserve">The defensible thesis framing is “an integrated, evaluated, privacy-preserving agentic system for parametric CAD with a human-in-the-loop verification protocol” — not “the first AI CAD agent.” No single ingredient is unprecedented; the combination, the local-privacy commitment, the confirmation protocol, and the measurement rigour are what constitute the contribution. The comparison table in Section 8 is the single most persuasive artefact for conveying this to an examiner.</w:t>
      </w:r>
    </w:p>
    <w:p>
      <w:pPr>
        <w:pStyle w:val="Heading1"/>
      </w:pPr>
      <w:r>
        <w:t xml:space="preserve">10. References</w:t>
      </w:r>
    </w:p>
    <w:p>
      <w:pPr>
        <w:spacing w:after="100" w:line="270"/>
      </w:pPr>
      <w:r>
        <w:rPr>
          <w:sz w:val="19"/>
          <w:szCs w:val="19"/>
        </w:rPr>
        <w:t xml:space="preserve">Badagabettu, A., Yarlagadda, S. S., &amp; Farimani, A. B. (2024). Query2CAD: Generating CAD Models Using Natural Language Queries. arXiv:2406.00144.</w:t>
      </w:r>
    </w:p>
    <w:p>
      <w:pPr>
        <w:spacing w:after="100" w:line="270"/>
      </w:pPr>
      <w:r>
        <w:rPr>
          <w:sz w:val="19"/>
          <w:szCs w:val="19"/>
        </w:rPr>
        <w:t xml:space="preserve">Heidari, N., &amp; Iosifidis, A. (2024). Geometric Deep Learning for Computer-Aided Design: A Survey. arXiv:2402.17695.</w:t>
      </w:r>
    </w:p>
    <w:p>
      <w:pPr>
        <w:spacing w:after="100" w:line="270"/>
      </w:pPr>
      <w:r>
        <w:rPr>
          <w:sz w:val="19"/>
          <w:szCs w:val="19"/>
        </w:rPr>
        <w:t xml:space="preserve">Ji, Z., et al. (2023). Survey of Hallucination in Natural Language Generation. ACM Computing Surveys, 55(12).</w:t>
      </w:r>
    </w:p>
    <w:p>
      <w:pPr>
        <w:spacing w:after="100" w:line="270"/>
      </w:pPr>
      <w:r>
        <w:rPr>
          <w:sz w:val="19"/>
          <w:szCs w:val="19"/>
        </w:rPr>
        <w:t xml:space="preserve">Khan, M. S., et al. (2024). Text2CAD: Generating Sequential CAD Designs from Beginner-to-Expert Level Text Prompts. NeurIPS 2024.</w:t>
      </w:r>
    </w:p>
    <w:p>
      <w:pPr>
        <w:spacing w:after="100" w:line="270"/>
      </w:pPr>
      <w:r>
        <w:rPr>
          <w:sz w:val="19"/>
          <w:szCs w:val="19"/>
        </w:rPr>
        <w:t xml:space="preserve">Lewis, P., et al. (2020). Retrieval-Augmented Generation for Knowledge-Intensive NLP Tasks. NeurIPS 2020.</w:t>
      </w:r>
    </w:p>
    <w:p>
      <w:pPr>
        <w:spacing w:after="100" w:line="270"/>
      </w:pPr>
      <w:r>
        <w:rPr>
          <w:sz w:val="19"/>
          <w:szCs w:val="19"/>
        </w:rPr>
        <w:t xml:space="preserve">Li, X., Li, J., Song, Y., Lou, Y., &amp; Zhou, X. (2025). Seek-CAD: A Self-Refined Generative Modeling for 3D Parametric CAD Using Local Inference via DeepSeek. arXiv:2505.17702.</w:t>
      </w:r>
    </w:p>
    <w:p>
      <w:pPr>
        <w:spacing w:after="100" w:line="270"/>
      </w:pPr>
      <w:r>
        <w:rPr>
          <w:sz w:val="19"/>
          <w:szCs w:val="19"/>
        </w:rPr>
        <w:t xml:space="preserve">Li, J., et al. (2025). CAD-Llama: Leveraging Large Language Models for CAD Parametric 3D Model Generation. CVPR 2025.</w:t>
      </w:r>
    </w:p>
    <w:p>
      <w:pPr>
        <w:spacing w:after="100" w:line="270"/>
      </w:pPr>
      <w:r>
        <w:rPr>
          <w:sz w:val="19"/>
          <w:szCs w:val="19"/>
        </w:rPr>
        <w:t xml:space="preserve">Madaan, A., et al. (2023). Self-Refine: Iterative Refinement with Self-Feedback. NeurIPS 2023.</w:t>
      </w:r>
    </w:p>
    <w:p>
      <w:pPr>
        <w:spacing w:after="100" w:line="270"/>
      </w:pPr>
      <w:r>
        <w:rPr>
          <w:sz w:val="19"/>
          <w:szCs w:val="19"/>
        </w:rPr>
        <w:t xml:space="preserve">Park, J. S., et al. (2023). Generative Agents: Interactive Simulacra of Human Behavior. UIST 2023.</w:t>
      </w:r>
    </w:p>
    <w:p>
      <w:pPr>
        <w:spacing w:after="100" w:line="270"/>
      </w:pPr>
      <w:r>
        <w:rPr>
          <w:sz w:val="19"/>
          <w:szCs w:val="19"/>
        </w:rPr>
        <w:t xml:space="preserve">Schick, T., et al. (2023). Toolformer: Language Models Can Teach Themselves to Use Tools. NeurIPS 2023.</w:t>
      </w:r>
    </w:p>
    <w:p>
      <w:pPr>
        <w:spacing w:after="100" w:line="270"/>
      </w:pPr>
      <w:r>
        <w:rPr>
          <w:sz w:val="19"/>
          <w:szCs w:val="19"/>
        </w:rPr>
        <w:t xml:space="preserve">Shinn, N., et al. (2023). Reflexion: Language Agents with Verbal Reinforcement Learning. NeurIPS 2023.</w:t>
      </w:r>
    </w:p>
    <w:p>
      <w:pPr>
        <w:spacing w:after="100" w:line="270"/>
      </w:pPr>
      <w:r>
        <w:rPr>
          <w:sz w:val="19"/>
          <w:szCs w:val="19"/>
        </w:rPr>
        <w:t xml:space="preserve">Wang, G., et al. (2023). Voyager: An Open-Ended Embodied Agent with Large Language Models. arXiv:2305.16291.</w:t>
      </w:r>
    </w:p>
    <w:p>
      <w:pPr>
        <w:spacing w:after="100" w:line="270"/>
      </w:pPr>
      <w:r>
        <w:rPr>
          <w:sz w:val="19"/>
          <w:szCs w:val="19"/>
        </w:rPr>
        <w:t xml:space="preserve">Wang, S., et al. (2025). CAD-GPT: Synthesising CAD Construction Sequence with Spatial Reasoning-Enhanced Multimodal LLMs. AAAI 2025.</w:t>
      </w:r>
    </w:p>
    <w:p>
      <w:pPr>
        <w:spacing w:after="100" w:line="270"/>
      </w:pPr>
      <w:r>
        <w:rPr>
          <w:sz w:val="19"/>
          <w:szCs w:val="19"/>
        </w:rPr>
        <w:t xml:space="preserve">Willis, K. D. D., et al. (2021). Fusion 360 Gallery: A Dataset and Environment for Programmatic CAD Construction from Human Design Sequences. ACM TOG, 40(4).</w:t>
      </w:r>
    </w:p>
    <w:p>
      <w:pPr>
        <w:spacing w:after="100" w:line="270"/>
      </w:pPr>
      <w:r>
        <w:rPr>
          <w:sz w:val="19"/>
          <w:szCs w:val="19"/>
        </w:rPr>
        <w:t xml:space="preserve">Wu, R., Xiao, C., &amp; Zheng, C. (2021). DeepCAD: A Deep Generative Network for Computer-Aided Design Models. ICCV 2021.</w:t>
      </w:r>
    </w:p>
    <w:p>
      <w:pPr>
        <w:spacing w:after="100" w:line="270"/>
      </w:pPr>
      <w:r>
        <w:rPr>
          <w:sz w:val="19"/>
          <w:szCs w:val="19"/>
        </w:rPr>
        <w:t xml:space="preserve">Wu, S., et al. (2024). CadVLM: Bridging Language and Vision in the Generation of Parametric CAD Sketches. ECCV 2024.</w:t>
      </w:r>
    </w:p>
    <w:p>
      <w:pPr>
        <w:spacing w:after="100" w:line="270"/>
      </w:pPr>
      <w:r>
        <w:rPr>
          <w:sz w:val="19"/>
          <w:szCs w:val="19"/>
        </w:rPr>
        <w:t xml:space="preserve">Xie, H., &amp; Ju, F. (2025). Text-to-CadQuery: A New Paradigm for CAD Generation with Scalable Large Model Capabilities. arXiv:2505.06507.</w:t>
      </w:r>
    </w:p>
    <w:p>
      <w:pPr>
        <w:spacing w:after="100" w:line="270"/>
      </w:pPr>
      <w:r>
        <w:rPr>
          <w:sz w:val="19"/>
          <w:szCs w:val="19"/>
        </w:rPr>
        <w:t xml:space="preserve">Yao, S., et al. (2023). ReAct: Synergizing Reasoning and Acting in Language Models. ICLR 2023.</w:t>
      </w:r>
    </w:p>
    <w:p>
      <w:pPr>
        <w:spacing w:after="100" w:line="270"/>
      </w:pPr>
      <w:r>
        <w:rPr>
          <w:sz w:val="19"/>
          <w:szCs w:val="19"/>
        </w:rPr>
        <w:t xml:space="preserve">From Text to Design: A Framework to Leverage LLM Agents for Automated CAD Generation. Proceedings of the Design Society (ICED 2025), Cambridge University Press.</w:t>
      </w:r>
    </w:p>
    <w:p>
      <w:pPr>
        <w:spacing w:after="100" w:line="270"/>
      </w:pPr>
      <w:r>
        <w:rPr>
          <w:sz w:val="19"/>
          <w:szCs w:val="19"/>
        </w:rPr>
        <w:t xml:space="preserve">CADDesigner: Conceptual Design of CAD Models Based on a General-Purpose Agent. (2025). arXiv:2508.01031.</w:t>
      </w:r>
    </w:p>
    <w:p>
      <w:pPr>
        <w:spacing w:after="100" w:line="270"/>
      </w:pPr>
      <w:r>
        <w:rPr>
          <w:sz w:val="19"/>
          <w:szCs w:val="19"/>
        </w:rPr>
        <w:t xml:space="preserve">CADSmith: Multi-Agent CAD Generation with Programmatic Geometric Validation. (2026). arXiv preprint.</w:t>
      </w:r>
    </w:p>
    <w:p>
      <w:pPr>
        <w:spacing w:after="100" w:line="270"/>
      </w:pPr>
      <w:r>
        <w:rPr>
          <w:sz w:val="19"/>
          <w:szCs w:val="19"/>
        </w:rPr>
        <w:t xml:space="preserve">Open-source FreeCAD MCP integrations: neka-nat/freecad-mcp, contextform/freecad-mcp, bonninr/freecad_mcp, proximile/FreeCAD-MCP (GitHub, 2024–2026).</w:t>
      </w:r>
    </w:p>
    <w:p>
      <w:pPr>
        <w:spacing w:after="100" w:line="270"/>
      </w:pPr>
      <w:r>
        <w:rPr>
          <w:sz w:val="19"/>
          <w:szCs w:val="19"/>
        </w:rPr>
        <w:t xml:space="preserve">Commercial tools referenced: Zoo Design Studio / KittyCAD; AdamCAD (Y Combinator W25); MecAgent; Onshape AI Advisor; Siemens Design Copilot; Autodesk Assistant; Dassault Aura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Literature Review &amp; Differentiation — Agentic CAD Assistant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2E539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2026-06-09T21:20:31.725Z</dcterms:created>
  <dcterms:modified xsi:type="dcterms:W3CDTF">2026-06-09T21:20:31.744Z</dcterms:modified>
</cp:coreProperties>
</file>

<file path=docProps/custom.xml><?xml version="1.0" encoding="utf-8"?>
<Properties xmlns="http://schemas.openxmlformats.org/officeDocument/2006/custom-properties" xmlns:vt="http://schemas.openxmlformats.org/officeDocument/2006/docPropsVTypes"/>
</file>