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6669729">
      <w:pPr>
        <w:spacing w:line="360" w:lineRule="auto"/>
        <w:rPr>
          <w:rFonts w:hint="default" w:ascii="Times New Roman" w:hAnsi="Times New Roman" w:eastAsia="SimSun" w:cs="Times New Roman"/>
          <w:sz w:val="22"/>
          <w:szCs w:val="22"/>
          <w:lang w:val="en-US"/>
        </w:rPr>
      </w:pPr>
      <w:r>
        <w:rPr>
          <w:rFonts w:hint="default" w:ascii="Times New Roman" w:hAnsi="Times New Roman" w:eastAsia="SimSun" w:cs="Times New Roman"/>
          <w:sz w:val="22"/>
          <w:szCs w:val="22"/>
          <w:lang w:val="en-US"/>
        </w:rPr>
        <w:t xml:space="preserve">Statistical summary </w:t>
      </w:r>
      <w:bookmarkStart w:id="0" w:name="_GoBack"/>
      <w:bookmarkEnd w:id="0"/>
    </w:p>
    <w:p w14:paraId="448A8C08">
      <w:pPr>
        <w:spacing w:line="360" w:lineRule="auto"/>
        <w:rPr>
          <w:rFonts w:hint="default" w:ascii="Times New Roman" w:hAnsi="Times New Roman" w:eastAsia="SimSun" w:cs="Times New Roman"/>
          <w:sz w:val="22"/>
          <w:szCs w:val="22"/>
        </w:rPr>
      </w:pPr>
      <w:r>
        <w:rPr>
          <w:rFonts w:hint="default" w:ascii="Times New Roman" w:hAnsi="Times New Roman" w:eastAsia="SimSun" w:cs="Times New Roman"/>
          <w:sz w:val="22"/>
          <w:szCs w:val="22"/>
        </w:rPr>
        <w:t>The table provides a summary of stock performance over 123 trading days. It shows the opening, highest, lowest, and closing prices, along with the adjusted closing price, trading volume, and dividends per share. On average, the stock opened at $148.74 and closed at $149.33. The highest opening price was $254.74, and the lowest was $106.36. The stock's price fluctuated moderately, with a standard deviation of around $26 for the opening price. Trading volume averaged about 96.7 million shares, with a maximum volume of nearly 198 million shares. Additionally, dividends were paid in some periods, with the highest being $1.67 per share. The data gives a snapshot of price movements, trading activity, and dividend payouts over the period.</w:t>
      </w:r>
    </w:p>
    <w:p w14:paraId="61E091C2">
      <w:pPr>
        <w:spacing w:line="360" w:lineRule="auto"/>
        <w:rPr>
          <w:rFonts w:hint="default" w:ascii="Times New Roman" w:hAnsi="Times New Roman" w:eastAsia="SimSun" w:cs="Times New Roman"/>
          <w:sz w:val="22"/>
          <w:szCs w:val="22"/>
        </w:rPr>
      </w:pPr>
    </w:p>
    <w:p w14:paraId="58DC9914">
      <w:pPr>
        <w:spacing w:line="360" w:lineRule="auto"/>
        <w:rPr>
          <w:rFonts w:hint="default" w:ascii="Times New Roman" w:hAnsi="Times New Roman" w:eastAsia="SimSun" w:cs="Times New Roman"/>
          <w:sz w:val="22"/>
          <w:szCs w:val="22"/>
        </w:rPr>
      </w:pPr>
    </w:p>
    <w:p w14:paraId="7EEC21F2">
      <w:pPr>
        <w:bidi w:val="0"/>
        <w:spacing w:line="360" w:lineRule="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Visualization summary</w:t>
      </w:r>
    </w:p>
    <w:p w14:paraId="15002E5F">
      <w:pPr>
        <w:bidi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The main issue in the data is understanding and predicting IBM’s stock price volatility, particularly with increasing fluctuations in recent years, sharp changes during mar</w:t>
      </w:r>
      <w:r>
        <w:rPr>
          <w:rFonts w:hint="default" w:ascii="Times New Roman" w:hAnsi="Times New Roman" w:cs="Times New Roman"/>
          <w:sz w:val="22"/>
          <w:szCs w:val="22"/>
        </w:rPr>
        <w:t>ket stress events like COVID-19, and patterns of dips and rebounds. To address this, a combination of forecasting and clustering models is recommended. A GARCH model would be effective for forecasting volatility, while models like ARIMA or LSTM could help predict future stock prices by analyzing past trends. Additionally, clustering techniques such as K-Means or DBSCAN could group similar periods of volatility and price movement, improving understanding of IBM’s stock behavior under various market conditions. This approach would enhance risk management and decision-making by quantifying volatility and identifying recurring patterns in the stock’s performance.</w:t>
      </w:r>
    </w:p>
    <w:p w14:paraId="158C5B73">
      <w:pPr>
        <w:bidi w:val="0"/>
        <w:spacing w:line="360" w:lineRule="auto"/>
        <w:rPr>
          <w:rFonts w:hint="default" w:ascii="Times New Roman" w:hAnsi="Times New Roman" w:cs="Times New Roman"/>
          <w:sz w:val="22"/>
          <w:szCs w:val="22"/>
        </w:rPr>
      </w:pPr>
    </w:p>
    <w:p w14:paraId="52D24889">
      <w:pPr>
        <w:rPr>
          <w:rFonts w:hint="default" w:ascii="Times New Roman" w:hAnsi="Times New Roman" w:eastAsia="SimSun" w:cs="Times New Roman"/>
          <w:sz w:val="22"/>
          <w:szCs w:val="22"/>
        </w:rPr>
      </w:pPr>
    </w:p>
    <w:p w14:paraId="721A9489">
      <w:pPr>
        <w:spacing w:line="360" w:lineRule="auto"/>
        <w:rPr>
          <w:rFonts w:hint="default" w:ascii="Times New Roman" w:hAnsi="Times New Roman" w:eastAsia="SimSun" w:cs="Times New Roman"/>
          <w:sz w:val="22"/>
          <w:szCs w:val="22"/>
          <w:lang w:val="en-US"/>
        </w:rPr>
      </w:pPr>
      <w:r>
        <w:rPr>
          <w:rFonts w:hint="default" w:ascii="Times New Roman" w:hAnsi="Times New Roman" w:eastAsia="SimSun" w:cs="Times New Roman"/>
          <w:sz w:val="22"/>
          <w:szCs w:val="22"/>
          <w:lang w:val="en-US"/>
        </w:rPr>
        <w:t xml:space="preserve">Model Summary </w:t>
      </w:r>
    </w:p>
    <w:p w14:paraId="50712FFC">
      <w:pPr>
        <w:pStyle w:val="5"/>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 xml:space="preserve">The model addresses the problem of </w:t>
      </w:r>
      <w:r>
        <w:rPr>
          <w:rStyle w:val="6"/>
          <w:rFonts w:hint="default" w:ascii="Times New Roman" w:hAnsi="Times New Roman" w:cs="Times New Roman"/>
          <w:sz w:val="22"/>
          <w:szCs w:val="22"/>
        </w:rPr>
        <w:t>IBM stock price volatility</w:t>
      </w:r>
      <w:r>
        <w:rPr>
          <w:rFonts w:hint="default" w:ascii="Times New Roman" w:hAnsi="Times New Roman" w:cs="Times New Roman"/>
          <w:sz w:val="22"/>
          <w:szCs w:val="22"/>
        </w:rPr>
        <w:t xml:space="preserve"> by providing both </w:t>
      </w:r>
      <w:r>
        <w:rPr>
          <w:rStyle w:val="6"/>
          <w:rFonts w:hint="default" w:ascii="Times New Roman" w:hAnsi="Times New Roman" w:cs="Times New Roman"/>
          <w:sz w:val="22"/>
          <w:szCs w:val="22"/>
        </w:rPr>
        <w:t>predictive</w:t>
      </w:r>
      <w:r>
        <w:rPr>
          <w:rFonts w:hint="default" w:ascii="Times New Roman" w:hAnsi="Times New Roman" w:cs="Times New Roman"/>
          <w:sz w:val="22"/>
          <w:szCs w:val="22"/>
        </w:rPr>
        <w:t xml:space="preserve"> and </w:t>
      </w:r>
      <w:r>
        <w:rPr>
          <w:rStyle w:val="6"/>
          <w:rFonts w:hint="default" w:ascii="Times New Roman" w:hAnsi="Times New Roman" w:cs="Times New Roman"/>
          <w:sz w:val="22"/>
          <w:szCs w:val="22"/>
        </w:rPr>
        <w:t>structural insights</w:t>
      </w:r>
      <w:r>
        <w:rPr>
          <w:rFonts w:hint="default" w:ascii="Times New Roman" w:hAnsi="Times New Roman" w:cs="Times New Roman"/>
          <w:sz w:val="22"/>
          <w:szCs w:val="22"/>
        </w:rPr>
        <w:t>. Stock price volatility is a key concern for investors and analysts as it influences risk management, portfolio allocation, and investment decisions. By leveraging forecasting and pattern recognition, the model helps in making more informed decisions about IBM’s market behavior.</w:t>
      </w:r>
    </w:p>
    <w:p w14:paraId="163FE69B">
      <w:pPr>
        <w:pStyle w:val="2"/>
        <w:keepNext w:val="0"/>
        <w:keepLines w:val="0"/>
        <w:widowControl/>
        <w:suppressLineNumbers w:val="0"/>
        <w:spacing w:line="360" w:lineRule="auto"/>
        <w:rPr>
          <w:rStyle w:val="6"/>
          <w:rFonts w:hint="default" w:ascii="Times New Roman" w:hAnsi="Times New Roman" w:cs="Times New Roman"/>
          <w:b/>
          <w:bCs/>
          <w:sz w:val="22"/>
          <w:szCs w:val="22"/>
        </w:rPr>
      </w:pPr>
    </w:p>
    <w:p w14:paraId="34D8A82B">
      <w:pPr>
        <w:pStyle w:val="2"/>
        <w:keepNext w:val="0"/>
        <w:keepLines w:val="0"/>
        <w:widowControl/>
        <w:suppressLineNumbers w:val="0"/>
        <w:spacing w:line="360" w:lineRule="auto"/>
        <w:rPr>
          <w:rStyle w:val="6"/>
          <w:rFonts w:hint="default" w:ascii="Times New Roman" w:hAnsi="Times New Roman" w:cs="Times New Roman"/>
          <w:b/>
          <w:bCs/>
          <w:sz w:val="22"/>
          <w:szCs w:val="22"/>
        </w:rPr>
      </w:pPr>
    </w:p>
    <w:p w14:paraId="2E12E731">
      <w:pPr>
        <w:pStyle w:val="2"/>
        <w:keepNext w:val="0"/>
        <w:keepLines w:val="0"/>
        <w:widowControl/>
        <w:suppressLineNumbers w:val="0"/>
        <w:spacing w:line="360" w:lineRule="auto"/>
        <w:rPr>
          <w:rStyle w:val="6"/>
          <w:rFonts w:hint="default" w:ascii="Times New Roman" w:hAnsi="Times New Roman" w:cs="Times New Roman"/>
          <w:b/>
          <w:bCs/>
          <w:sz w:val="22"/>
          <w:szCs w:val="22"/>
        </w:rPr>
      </w:pPr>
    </w:p>
    <w:p w14:paraId="6B7BCE0F">
      <w:pPr>
        <w:pStyle w:val="2"/>
        <w:keepNext w:val="0"/>
        <w:keepLines w:val="0"/>
        <w:widowControl/>
        <w:suppressLineNumbers w:val="0"/>
        <w:spacing w:line="360" w:lineRule="auto"/>
        <w:rPr>
          <w:rFonts w:hint="default" w:ascii="Times New Roman" w:hAnsi="Times New Roman" w:cs="Times New Roman"/>
          <w:sz w:val="22"/>
          <w:szCs w:val="22"/>
        </w:rPr>
      </w:pPr>
      <w:r>
        <w:rPr>
          <w:rStyle w:val="6"/>
          <w:rFonts w:hint="default" w:ascii="Times New Roman" w:hAnsi="Times New Roman" w:cs="Times New Roman"/>
          <w:b/>
          <w:bCs/>
          <w:sz w:val="22"/>
          <w:szCs w:val="22"/>
        </w:rPr>
        <w:t>How the Model Helps with IBM Stock Volatility</w:t>
      </w:r>
    </w:p>
    <w:p w14:paraId="4F922DA4">
      <w:pPr>
        <w:keepNext w:val="0"/>
        <w:keepLines w:val="0"/>
        <w:widowControl/>
        <w:numPr>
          <w:ilvl w:val="0"/>
          <w:numId w:val="1"/>
        </w:numPr>
        <w:suppressLineNumbers w:val="0"/>
        <w:spacing w:before="0" w:beforeAutospacing="1" w:after="0" w:afterAutospacing="1" w:line="240" w:lineRule="auto"/>
        <w:ind w:left="720" w:hanging="360"/>
        <w:rPr>
          <w:rFonts w:hint="default" w:ascii="Times New Roman" w:hAnsi="Times New Roman" w:cs="Times New Roman"/>
          <w:sz w:val="22"/>
          <w:szCs w:val="22"/>
        </w:rPr>
      </w:pPr>
      <w:r>
        <w:rPr>
          <w:rStyle w:val="6"/>
          <w:rFonts w:hint="default" w:ascii="Times New Roman" w:hAnsi="Times New Roman" w:cs="Times New Roman"/>
          <w:sz w:val="22"/>
          <w:szCs w:val="22"/>
        </w:rPr>
        <w:t>Predicting Future Volatility</w:t>
      </w:r>
      <w:r>
        <w:rPr>
          <w:rFonts w:hint="default" w:ascii="Times New Roman" w:hAnsi="Times New Roman" w:cs="Times New Roman"/>
          <w:sz w:val="22"/>
          <w:szCs w:val="22"/>
        </w:rPr>
        <w:t xml:space="preserve"> – The </w:t>
      </w:r>
      <w:r>
        <w:rPr>
          <w:rStyle w:val="6"/>
          <w:rFonts w:hint="default" w:ascii="Times New Roman" w:hAnsi="Times New Roman" w:cs="Times New Roman"/>
          <w:sz w:val="22"/>
          <w:szCs w:val="22"/>
        </w:rPr>
        <w:t>GARCH(1,1) model</w:t>
      </w:r>
      <w:r>
        <w:rPr>
          <w:rFonts w:hint="default" w:ascii="Times New Roman" w:hAnsi="Times New Roman" w:cs="Times New Roman"/>
          <w:sz w:val="22"/>
          <w:szCs w:val="22"/>
        </w:rPr>
        <w:t xml:space="preserve"> estimates how volatility evolves over time. If the model predicts heightened volatility, investors can take precautionary actions such as hedging or adjusting their portfolios.</w:t>
      </w:r>
    </w:p>
    <w:p w14:paraId="15C7A340">
      <w:pPr>
        <w:keepNext w:val="0"/>
        <w:keepLines w:val="0"/>
        <w:widowControl/>
        <w:numPr>
          <w:ilvl w:val="0"/>
          <w:numId w:val="1"/>
        </w:numPr>
        <w:suppressLineNumbers w:val="0"/>
        <w:spacing w:before="0" w:beforeAutospacing="1" w:after="0" w:afterAutospacing="1" w:line="240" w:lineRule="auto"/>
        <w:ind w:left="720" w:hanging="360"/>
        <w:rPr>
          <w:rFonts w:hint="default" w:ascii="Times New Roman" w:hAnsi="Times New Roman" w:cs="Times New Roman"/>
          <w:sz w:val="22"/>
          <w:szCs w:val="22"/>
        </w:rPr>
      </w:pPr>
      <w:r>
        <w:rPr>
          <w:rStyle w:val="6"/>
          <w:rFonts w:hint="default" w:ascii="Times New Roman" w:hAnsi="Times New Roman" w:cs="Times New Roman"/>
          <w:sz w:val="22"/>
          <w:szCs w:val="22"/>
        </w:rPr>
        <w:t>Understanding Market Phases</w:t>
      </w:r>
      <w:r>
        <w:rPr>
          <w:rFonts w:hint="default" w:ascii="Times New Roman" w:hAnsi="Times New Roman" w:cs="Times New Roman"/>
          <w:sz w:val="22"/>
          <w:szCs w:val="22"/>
        </w:rPr>
        <w:t xml:space="preserve"> – Clustering techniques like </w:t>
      </w:r>
      <w:r>
        <w:rPr>
          <w:rStyle w:val="6"/>
          <w:rFonts w:hint="default" w:ascii="Times New Roman" w:hAnsi="Times New Roman" w:cs="Times New Roman"/>
          <w:sz w:val="22"/>
          <w:szCs w:val="22"/>
        </w:rPr>
        <w:t>K-Means or DBSCAN</w:t>
      </w:r>
      <w:r>
        <w:rPr>
          <w:rFonts w:hint="default" w:ascii="Times New Roman" w:hAnsi="Times New Roman" w:cs="Times New Roman"/>
          <w:sz w:val="22"/>
          <w:szCs w:val="22"/>
        </w:rPr>
        <w:t xml:space="preserve"> segment stock price movements into distinct market conditions, such as stable, moderately volatile, or highly volatile periods. Recognizing these patterns allows traders and investors to anticipate shifts in IBM stock behavior.</w:t>
      </w:r>
    </w:p>
    <w:p w14:paraId="243D3859">
      <w:pPr>
        <w:keepNext w:val="0"/>
        <w:keepLines w:val="0"/>
        <w:widowControl/>
        <w:numPr>
          <w:ilvl w:val="0"/>
          <w:numId w:val="1"/>
        </w:numPr>
        <w:suppressLineNumbers w:val="0"/>
        <w:spacing w:before="0" w:beforeAutospacing="1" w:after="0" w:afterAutospacing="1" w:line="240" w:lineRule="auto"/>
        <w:ind w:left="720" w:hanging="360"/>
        <w:rPr>
          <w:rFonts w:hint="default" w:ascii="Times New Roman" w:hAnsi="Times New Roman" w:cs="Times New Roman"/>
          <w:sz w:val="22"/>
          <w:szCs w:val="22"/>
        </w:rPr>
      </w:pPr>
      <w:r>
        <w:rPr>
          <w:rStyle w:val="6"/>
          <w:rFonts w:hint="default" w:ascii="Times New Roman" w:hAnsi="Times New Roman" w:cs="Times New Roman"/>
          <w:sz w:val="22"/>
          <w:szCs w:val="22"/>
        </w:rPr>
        <w:t>Improving Risk Management</w:t>
      </w:r>
      <w:r>
        <w:rPr>
          <w:rFonts w:hint="default" w:ascii="Times New Roman" w:hAnsi="Times New Roman" w:cs="Times New Roman"/>
          <w:sz w:val="22"/>
          <w:szCs w:val="22"/>
        </w:rPr>
        <w:t xml:space="preserve"> – By forecasting volatility trends and clustering historical periods with similar characteristics, financial analysts can compare current market behavior with past trends and adjust their risk exposure accordingly.</w:t>
      </w:r>
    </w:p>
    <w:p w14:paraId="07D8DAF2">
      <w:pPr>
        <w:keepNext w:val="0"/>
        <w:keepLines w:val="0"/>
        <w:widowControl/>
        <w:numPr>
          <w:ilvl w:val="0"/>
          <w:numId w:val="1"/>
        </w:numPr>
        <w:suppressLineNumbers w:val="0"/>
        <w:spacing w:before="0" w:beforeAutospacing="1" w:after="0" w:afterAutospacing="1" w:line="240" w:lineRule="auto"/>
        <w:ind w:left="720" w:hanging="360"/>
        <w:rPr>
          <w:rFonts w:hint="default" w:ascii="Times New Roman" w:hAnsi="Times New Roman" w:cs="Times New Roman"/>
          <w:sz w:val="22"/>
          <w:szCs w:val="22"/>
        </w:rPr>
      </w:pPr>
      <w:r>
        <w:rPr>
          <w:rStyle w:val="6"/>
          <w:rFonts w:hint="default" w:ascii="Times New Roman" w:hAnsi="Times New Roman" w:cs="Times New Roman"/>
          <w:sz w:val="22"/>
          <w:szCs w:val="22"/>
        </w:rPr>
        <w:t>Identifying Structural Shifts</w:t>
      </w:r>
      <w:r>
        <w:rPr>
          <w:rFonts w:hint="default" w:ascii="Times New Roman" w:hAnsi="Times New Roman" w:cs="Times New Roman"/>
          <w:sz w:val="22"/>
          <w:szCs w:val="22"/>
        </w:rPr>
        <w:t xml:space="preserve"> – Clustering reveals sudden changes in market behavior, helping to detect </w:t>
      </w:r>
      <w:r>
        <w:rPr>
          <w:rStyle w:val="6"/>
          <w:rFonts w:hint="default" w:ascii="Times New Roman" w:hAnsi="Times New Roman" w:cs="Times New Roman"/>
          <w:sz w:val="22"/>
          <w:szCs w:val="22"/>
        </w:rPr>
        <w:t>potential turning points</w:t>
      </w:r>
      <w:r>
        <w:rPr>
          <w:rFonts w:hint="default" w:ascii="Times New Roman" w:hAnsi="Times New Roman" w:cs="Times New Roman"/>
          <w:sz w:val="22"/>
          <w:szCs w:val="22"/>
        </w:rPr>
        <w:t xml:space="preserve"> in IBM’s stock performance, such as the beginning of a prolonged bull or bear phase.</w:t>
      </w:r>
    </w:p>
    <w:p w14:paraId="39E933F0">
      <w:pPr>
        <w:pStyle w:val="2"/>
        <w:keepNext w:val="0"/>
        <w:keepLines w:val="0"/>
        <w:widowControl/>
        <w:suppressLineNumbers w:val="0"/>
        <w:spacing w:line="360" w:lineRule="auto"/>
        <w:rPr>
          <w:rFonts w:hint="default" w:ascii="Times New Roman" w:hAnsi="Times New Roman" w:cs="Times New Roman"/>
          <w:sz w:val="22"/>
          <w:szCs w:val="22"/>
        </w:rPr>
      </w:pPr>
      <w:r>
        <w:rPr>
          <w:rStyle w:val="6"/>
          <w:rFonts w:hint="default" w:ascii="Times New Roman" w:hAnsi="Times New Roman" w:cs="Times New Roman"/>
          <w:b/>
          <w:bCs/>
          <w:sz w:val="22"/>
          <w:szCs w:val="22"/>
        </w:rPr>
        <w:t>Insights from the Model</w:t>
      </w:r>
    </w:p>
    <w:p w14:paraId="1F530972">
      <w:pPr>
        <w:keepNext w:val="0"/>
        <w:keepLines w:val="0"/>
        <w:widowControl/>
        <w:numPr>
          <w:ilvl w:val="0"/>
          <w:numId w:val="2"/>
        </w:numPr>
        <w:suppressLineNumbers w:val="0"/>
        <w:spacing w:before="0" w:beforeAutospacing="1" w:after="0" w:afterAutospacing="1" w:line="240" w:lineRule="auto"/>
        <w:ind w:left="760" w:leftChars="0" w:hanging="360" w:firstLineChars="0"/>
        <w:rPr>
          <w:rFonts w:hint="default" w:ascii="Times New Roman" w:hAnsi="Times New Roman" w:cs="Times New Roman"/>
          <w:sz w:val="22"/>
          <w:szCs w:val="22"/>
        </w:rPr>
      </w:pPr>
      <w:r>
        <w:rPr>
          <w:rFonts w:hint="default" w:ascii="Times New Roman" w:hAnsi="Times New Roman" w:cs="Times New Roman"/>
          <w:sz w:val="22"/>
          <w:szCs w:val="22"/>
        </w:rPr>
        <w:t xml:space="preserve">IBM stock exhibits </w:t>
      </w:r>
      <w:r>
        <w:rPr>
          <w:rStyle w:val="6"/>
          <w:rFonts w:hint="default" w:ascii="Times New Roman" w:hAnsi="Times New Roman" w:cs="Times New Roman"/>
          <w:sz w:val="22"/>
          <w:szCs w:val="22"/>
        </w:rPr>
        <w:t>volatility clustering</w:t>
      </w:r>
      <w:r>
        <w:rPr>
          <w:rFonts w:hint="default" w:ascii="Times New Roman" w:hAnsi="Times New Roman" w:cs="Times New Roman"/>
          <w:sz w:val="22"/>
          <w:szCs w:val="22"/>
        </w:rPr>
        <w:t>, where periods of high volatility are followed by further instability, while low-volatility phases tend to persist.</w:t>
      </w:r>
    </w:p>
    <w:p w14:paraId="2D963A49">
      <w:pPr>
        <w:keepNext w:val="0"/>
        <w:keepLines w:val="0"/>
        <w:widowControl/>
        <w:numPr>
          <w:ilvl w:val="0"/>
          <w:numId w:val="2"/>
        </w:numPr>
        <w:suppressLineNumbers w:val="0"/>
        <w:spacing w:before="0" w:beforeAutospacing="1" w:after="0" w:afterAutospacing="1" w:line="240" w:lineRule="auto"/>
        <w:ind w:left="760" w:leftChars="0" w:hanging="360" w:firstLineChars="0"/>
        <w:rPr>
          <w:rFonts w:hint="default" w:ascii="Times New Roman" w:hAnsi="Times New Roman" w:cs="Times New Roman"/>
          <w:sz w:val="22"/>
          <w:szCs w:val="22"/>
        </w:rPr>
      </w:pPr>
      <w:r>
        <w:rPr>
          <w:rFonts w:hint="default" w:ascii="Times New Roman" w:hAnsi="Times New Roman" w:cs="Times New Roman"/>
          <w:sz w:val="22"/>
          <w:szCs w:val="22"/>
        </w:rPr>
        <w:t xml:space="preserve">The </w:t>
      </w:r>
      <w:r>
        <w:rPr>
          <w:rStyle w:val="6"/>
          <w:rFonts w:hint="default" w:ascii="Times New Roman" w:hAnsi="Times New Roman" w:cs="Times New Roman"/>
          <w:sz w:val="22"/>
          <w:szCs w:val="22"/>
        </w:rPr>
        <w:t>recent sharp increase in stock price</w:t>
      </w:r>
      <w:r>
        <w:rPr>
          <w:rFonts w:hint="default" w:ascii="Times New Roman" w:hAnsi="Times New Roman" w:cs="Times New Roman"/>
          <w:sz w:val="22"/>
          <w:szCs w:val="22"/>
        </w:rPr>
        <w:t xml:space="preserve"> (as seen in the visualization) coincides with a period of heightened volatility, indicating speculative activity or external market influences.</w:t>
      </w:r>
    </w:p>
    <w:p w14:paraId="208DB2F3">
      <w:pPr>
        <w:keepNext w:val="0"/>
        <w:keepLines w:val="0"/>
        <w:widowControl/>
        <w:numPr>
          <w:ilvl w:val="0"/>
          <w:numId w:val="2"/>
        </w:numPr>
        <w:suppressLineNumbers w:val="0"/>
        <w:spacing w:before="0" w:beforeAutospacing="1" w:after="0" w:afterAutospacing="1" w:line="240" w:lineRule="auto"/>
        <w:ind w:left="760" w:leftChars="0" w:hanging="360" w:firstLineChars="0"/>
        <w:rPr>
          <w:rFonts w:hint="default" w:ascii="Times New Roman" w:hAnsi="Times New Roman" w:cs="Times New Roman"/>
          <w:sz w:val="22"/>
          <w:szCs w:val="22"/>
        </w:rPr>
      </w:pPr>
      <w:r>
        <w:rPr>
          <w:rStyle w:val="6"/>
          <w:rFonts w:hint="default" w:ascii="Times New Roman" w:hAnsi="Times New Roman" w:cs="Times New Roman"/>
          <w:sz w:val="22"/>
          <w:szCs w:val="22"/>
        </w:rPr>
        <w:t>Stable periods often precede gradual upward trends</w:t>
      </w:r>
      <w:r>
        <w:rPr>
          <w:rFonts w:hint="default" w:ascii="Times New Roman" w:hAnsi="Times New Roman" w:cs="Times New Roman"/>
          <w:sz w:val="22"/>
          <w:szCs w:val="22"/>
        </w:rPr>
        <w:t>, while sharp volatility spikes are frequently followed by price corrections or consolidations.</w:t>
      </w:r>
    </w:p>
    <w:p w14:paraId="485FBA06">
      <w:pPr>
        <w:keepNext w:val="0"/>
        <w:keepLines w:val="0"/>
        <w:widowControl/>
        <w:numPr>
          <w:ilvl w:val="0"/>
          <w:numId w:val="2"/>
        </w:numPr>
        <w:suppressLineNumbers w:val="0"/>
        <w:spacing w:before="0" w:beforeAutospacing="1" w:after="0" w:afterAutospacing="1" w:line="240" w:lineRule="auto"/>
        <w:ind w:left="760" w:leftChars="0" w:hanging="360" w:firstLineChars="0"/>
        <w:rPr>
          <w:rFonts w:hint="default" w:ascii="Times New Roman" w:hAnsi="Times New Roman" w:cs="Times New Roman"/>
          <w:sz w:val="22"/>
          <w:szCs w:val="22"/>
        </w:rPr>
      </w:pPr>
      <w:r>
        <w:rPr>
          <w:rFonts w:hint="default" w:ascii="Times New Roman" w:hAnsi="Times New Roman" w:cs="Times New Roman"/>
          <w:sz w:val="22"/>
          <w:szCs w:val="22"/>
        </w:rPr>
        <w:t>Clustering results may reveal specific macroeconomic or industry-related events (e.g., earnings reports, Federal Reserve decisions) that align with IBM’s volatile phases.</w:t>
      </w:r>
    </w:p>
    <w:p w14:paraId="0997BBE8">
      <w:pPr>
        <w:pStyle w:val="2"/>
        <w:keepNext w:val="0"/>
        <w:keepLines w:val="0"/>
        <w:widowControl/>
        <w:suppressLineNumbers w:val="0"/>
        <w:spacing w:line="360" w:lineRule="auto"/>
        <w:rPr>
          <w:rFonts w:hint="default" w:ascii="Times New Roman" w:hAnsi="Times New Roman" w:cs="Times New Roman"/>
          <w:sz w:val="22"/>
          <w:szCs w:val="22"/>
        </w:rPr>
      </w:pPr>
      <w:r>
        <w:rPr>
          <w:rStyle w:val="6"/>
          <w:rFonts w:hint="default" w:ascii="Times New Roman" w:hAnsi="Times New Roman" w:cs="Times New Roman"/>
          <w:b/>
          <w:bCs/>
          <w:sz w:val="22"/>
          <w:szCs w:val="22"/>
        </w:rPr>
        <w:t>Practical Implications</w:t>
      </w:r>
    </w:p>
    <w:p w14:paraId="21CBB726">
      <w:pPr>
        <w:keepNext w:val="0"/>
        <w:keepLines w:val="0"/>
        <w:widowControl/>
        <w:numPr>
          <w:ilvl w:val="0"/>
          <w:numId w:val="3"/>
        </w:numPr>
        <w:suppressLineNumbers w:val="0"/>
        <w:spacing w:before="0" w:beforeAutospacing="1" w:after="0" w:afterAutospacing="1" w:line="240" w:lineRule="auto"/>
        <w:ind w:left="720" w:hanging="360"/>
        <w:rPr>
          <w:rFonts w:hint="default" w:ascii="Times New Roman" w:hAnsi="Times New Roman" w:cs="Times New Roman"/>
          <w:sz w:val="22"/>
          <w:szCs w:val="22"/>
        </w:rPr>
      </w:pPr>
      <w:r>
        <w:rPr>
          <w:rStyle w:val="6"/>
          <w:rFonts w:hint="default" w:ascii="Times New Roman" w:hAnsi="Times New Roman" w:cs="Times New Roman"/>
          <w:sz w:val="22"/>
          <w:szCs w:val="22"/>
        </w:rPr>
        <w:t>For traders</w:t>
      </w:r>
      <w:r>
        <w:rPr>
          <w:rFonts w:hint="default" w:ascii="Times New Roman" w:hAnsi="Times New Roman" w:cs="Times New Roman"/>
          <w:sz w:val="22"/>
          <w:szCs w:val="22"/>
        </w:rPr>
        <w:t xml:space="preserve">: The model helps in deciding </w:t>
      </w:r>
      <w:r>
        <w:rPr>
          <w:rStyle w:val="6"/>
          <w:rFonts w:hint="default" w:ascii="Times New Roman" w:hAnsi="Times New Roman" w:cs="Times New Roman"/>
          <w:sz w:val="22"/>
          <w:szCs w:val="22"/>
        </w:rPr>
        <w:t>when to enter or exit</w:t>
      </w:r>
      <w:r>
        <w:rPr>
          <w:rFonts w:hint="default" w:ascii="Times New Roman" w:hAnsi="Times New Roman" w:cs="Times New Roman"/>
          <w:sz w:val="22"/>
          <w:szCs w:val="22"/>
        </w:rPr>
        <w:t xml:space="preserve"> positions based on volatility forecasts.</w:t>
      </w:r>
    </w:p>
    <w:p w14:paraId="5C314A69">
      <w:pPr>
        <w:keepNext w:val="0"/>
        <w:keepLines w:val="0"/>
        <w:widowControl/>
        <w:numPr>
          <w:ilvl w:val="0"/>
          <w:numId w:val="3"/>
        </w:numPr>
        <w:suppressLineNumbers w:val="0"/>
        <w:spacing w:before="0" w:beforeAutospacing="1" w:after="0" w:afterAutospacing="1" w:line="240" w:lineRule="auto"/>
        <w:ind w:left="720" w:hanging="360"/>
        <w:rPr>
          <w:rFonts w:hint="default" w:ascii="Times New Roman" w:hAnsi="Times New Roman" w:cs="Times New Roman"/>
          <w:sz w:val="22"/>
          <w:szCs w:val="22"/>
        </w:rPr>
      </w:pPr>
      <w:r>
        <w:rPr>
          <w:rStyle w:val="6"/>
          <w:rFonts w:hint="default" w:ascii="Times New Roman" w:hAnsi="Times New Roman" w:cs="Times New Roman"/>
          <w:sz w:val="22"/>
          <w:szCs w:val="22"/>
        </w:rPr>
        <w:t>For long-term investors</w:t>
      </w:r>
      <w:r>
        <w:rPr>
          <w:rFonts w:hint="default" w:ascii="Times New Roman" w:hAnsi="Times New Roman" w:cs="Times New Roman"/>
          <w:sz w:val="22"/>
          <w:szCs w:val="22"/>
        </w:rPr>
        <w:t xml:space="preserve">: It identifies stable periods </w:t>
      </w:r>
      <w:r>
        <w:rPr>
          <w:rStyle w:val="6"/>
          <w:rFonts w:hint="default" w:ascii="Times New Roman" w:hAnsi="Times New Roman" w:cs="Times New Roman"/>
          <w:sz w:val="22"/>
          <w:szCs w:val="22"/>
        </w:rPr>
        <w:t>better suited for investment</w:t>
      </w:r>
      <w:r>
        <w:rPr>
          <w:rFonts w:hint="default" w:ascii="Times New Roman" w:hAnsi="Times New Roman" w:cs="Times New Roman"/>
          <w:sz w:val="22"/>
          <w:szCs w:val="22"/>
        </w:rPr>
        <w:t>, while also warning of potential risks.</w:t>
      </w:r>
    </w:p>
    <w:p w14:paraId="7A4B15C6">
      <w:pPr>
        <w:keepNext w:val="0"/>
        <w:keepLines w:val="0"/>
        <w:widowControl/>
        <w:numPr>
          <w:ilvl w:val="0"/>
          <w:numId w:val="3"/>
        </w:numPr>
        <w:suppressLineNumbers w:val="0"/>
        <w:spacing w:before="0" w:beforeAutospacing="1" w:after="0" w:afterAutospacing="1" w:line="240" w:lineRule="auto"/>
        <w:ind w:left="720" w:hanging="360"/>
        <w:rPr>
          <w:rFonts w:hint="default" w:ascii="Times New Roman" w:hAnsi="Times New Roman" w:cs="Times New Roman"/>
          <w:sz w:val="22"/>
          <w:szCs w:val="22"/>
        </w:rPr>
      </w:pPr>
      <w:r>
        <w:rPr>
          <w:rStyle w:val="6"/>
          <w:rFonts w:hint="default" w:ascii="Times New Roman" w:hAnsi="Times New Roman" w:cs="Times New Roman"/>
          <w:sz w:val="22"/>
          <w:szCs w:val="22"/>
        </w:rPr>
        <w:t>For risk managers</w:t>
      </w:r>
      <w:r>
        <w:rPr>
          <w:rFonts w:hint="default" w:ascii="Times New Roman" w:hAnsi="Times New Roman" w:cs="Times New Roman"/>
          <w:sz w:val="22"/>
          <w:szCs w:val="22"/>
        </w:rPr>
        <w:t xml:space="preserve">: The approach provides a </w:t>
      </w:r>
      <w:r>
        <w:rPr>
          <w:rStyle w:val="6"/>
          <w:rFonts w:hint="default" w:ascii="Times New Roman" w:hAnsi="Times New Roman" w:cs="Times New Roman"/>
          <w:sz w:val="22"/>
          <w:szCs w:val="22"/>
        </w:rPr>
        <w:t>data-driven method</w:t>
      </w:r>
      <w:r>
        <w:rPr>
          <w:rFonts w:hint="default" w:ascii="Times New Roman" w:hAnsi="Times New Roman" w:cs="Times New Roman"/>
          <w:sz w:val="22"/>
          <w:szCs w:val="22"/>
        </w:rPr>
        <w:t xml:space="preserve"> to adjust hedge strategies according to prevailing market conditions.</w:t>
      </w:r>
    </w:p>
    <w:p w14:paraId="0CFAD26D">
      <w:pPr>
        <w:pStyle w:val="5"/>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 xml:space="preserve">By integrating </w:t>
      </w:r>
      <w:r>
        <w:rPr>
          <w:rStyle w:val="6"/>
          <w:rFonts w:hint="default" w:ascii="Times New Roman" w:hAnsi="Times New Roman" w:cs="Times New Roman"/>
          <w:sz w:val="22"/>
          <w:szCs w:val="22"/>
        </w:rPr>
        <w:t>GARCH forecasting for volatility estimation</w:t>
      </w:r>
      <w:r>
        <w:rPr>
          <w:rFonts w:hint="default" w:ascii="Times New Roman" w:hAnsi="Times New Roman" w:cs="Times New Roman"/>
          <w:sz w:val="22"/>
          <w:szCs w:val="22"/>
        </w:rPr>
        <w:t xml:space="preserve"> and </w:t>
      </w:r>
      <w:r>
        <w:rPr>
          <w:rStyle w:val="6"/>
          <w:rFonts w:hint="default" w:ascii="Times New Roman" w:hAnsi="Times New Roman" w:cs="Times New Roman"/>
          <w:sz w:val="22"/>
          <w:szCs w:val="22"/>
        </w:rPr>
        <w:t>clustering for pattern recognition</w:t>
      </w:r>
      <w:r>
        <w:rPr>
          <w:rFonts w:hint="default" w:ascii="Times New Roman" w:hAnsi="Times New Roman" w:cs="Times New Roman"/>
          <w:sz w:val="22"/>
          <w:szCs w:val="22"/>
        </w:rPr>
        <w:t>, the model not only quantifies volatility but also explains its underlying patterns. This allows for better risk assessment, investment planning, and strategic decision-making in IBM’s stock market movements. 🚀📈</w:t>
      </w:r>
    </w:p>
    <w:p w14:paraId="38440500">
      <w:pPr>
        <w:spacing w:line="360" w:lineRule="auto"/>
        <w:rPr>
          <w:rFonts w:hint="default" w:ascii="Times New Roman" w:hAnsi="Times New Roman" w:eastAsia="SimSun" w:cs="Times New Roman"/>
          <w:sz w:val="22"/>
          <w:szCs w:val="22"/>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7236F64"/>
    <w:multiLevelType w:val="multilevel"/>
    <w:tmpl w:val="97236F64"/>
    <w:lvl w:ilvl="0" w:tentative="0">
      <w:start w:val="1"/>
      <w:numFmt w:val="bullet"/>
      <w:lvlText w:val=""/>
      <w:lvlJc w:val="left"/>
      <w:pPr>
        <w:tabs>
          <w:tab w:val="left" w:pos="720"/>
        </w:tabs>
        <w:ind w:left="760" w:hanging="360"/>
      </w:pPr>
      <w:rPr>
        <w:rFonts w:ascii="Symbol" w:hAnsi="Symbol" w:cs="Symbol"/>
        <w:sz w:val="20"/>
      </w:rPr>
    </w:lvl>
    <w:lvl w:ilvl="1" w:tentative="0">
      <w:start w:val="1"/>
      <w:numFmt w:val="bullet"/>
      <w:lvlText w:val="o"/>
      <w:lvlJc w:val="left"/>
      <w:pPr>
        <w:tabs>
          <w:tab w:val="left" w:pos="1440"/>
        </w:tabs>
        <w:ind w:left="1480" w:hanging="360"/>
      </w:pPr>
      <w:rPr>
        <w:rFonts w:ascii="Courier New" w:hAnsi="Courier New" w:cs="Courier New"/>
        <w:sz w:val="20"/>
      </w:rPr>
    </w:lvl>
    <w:lvl w:ilvl="2" w:tentative="0">
      <w:start w:val="1"/>
      <w:numFmt w:val="bullet"/>
      <w:lvlText w:val=""/>
      <w:lvlJc w:val="left"/>
      <w:pPr>
        <w:tabs>
          <w:tab w:val="left" w:pos="2160"/>
        </w:tabs>
        <w:ind w:left="2200" w:hanging="360"/>
      </w:pPr>
      <w:rPr>
        <w:rFonts w:ascii="Wingdings" w:hAnsi="Wingdings" w:cs="Wingdings"/>
        <w:sz w:val="20"/>
      </w:rPr>
    </w:lvl>
    <w:lvl w:ilvl="3" w:tentative="0">
      <w:start w:val="1"/>
      <w:numFmt w:val="bullet"/>
      <w:lvlText w:val=""/>
      <w:lvlJc w:val="left"/>
      <w:pPr>
        <w:tabs>
          <w:tab w:val="left" w:pos="2880"/>
        </w:tabs>
        <w:ind w:left="2920" w:hanging="360"/>
      </w:pPr>
      <w:rPr>
        <w:rFonts w:hint="default" w:ascii="Wingdings" w:hAnsi="Wingdings" w:cs="Wingdings"/>
        <w:sz w:val="20"/>
      </w:rPr>
    </w:lvl>
    <w:lvl w:ilvl="4" w:tentative="0">
      <w:start w:val="1"/>
      <w:numFmt w:val="bullet"/>
      <w:lvlText w:val=""/>
      <w:lvlJc w:val="left"/>
      <w:pPr>
        <w:tabs>
          <w:tab w:val="left" w:pos="3600"/>
        </w:tabs>
        <w:ind w:left="3640" w:hanging="360"/>
      </w:pPr>
      <w:rPr>
        <w:rFonts w:hint="default" w:ascii="Wingdings" w:hAnsi="Wingdings" w:cs="Wingdings"/>
        <w:sz w:val="20"/>
      </w:rPr>
    </w:lvl>
    <w:lvl w:ilvl="5" w:tentative="0">
      <w:start w:val="1"/>
      <w:numFmt w:val="bullet"/>
      <w:lvlText w:val=""/>
      <w:lvlJc w:val="left"/>
      <w:pPr>
        <w:tabs>
          <w:tab w:val="left" w:pos="4320"/>
        </w:tabs>
        <w:ind w:left="4360" w:hanging="360"/>
      </w:pPr>
      <w:rPr>
        <w:rFonts w:hint="default" w:ascii="Wingdings" w:hAnsi="Wingdings" w:cs="Wingdings"/>
        <w:sz w:val="20"/>
      </w:rPr>
    </w:lvl>
    <w:lvl w:ilvl="6" w:tentative="0">
      <w:start w:val="1"/>
      <w:numFmt w:val="bullet"/>
      <w:lvlText w:val=""/>
      <w:lvlJc w:val="left"/>
      <w:pPr>
        <w:tabs>
          <w:tab w:val="left" w:pos="5040"/>
        </w:tabs>
        <w:ind w:left="5080" w:hanging="360"/>
      </w:pPr>
      <w:rPr>
        <w:rFonts w:hint="default" w:ascii="Wingdings" w:hAnsi="Wingdings" w:cs="Wingdings"/>
        <w:sz w:val="20"/>
      </w:rPr>
    </w:lvl>
    <w:lvl w:ilvl="7" w:tentative="0">
      <w:start w:val="1"/>
      <w:numFmt w:val="bullet"/>
      <w:lvlText w:val=""/>
      <w:lvlJc w:val="left"/>
      <w:pPr>
        <w:tabs>
          <w:tab w:val="left" w:pos="5760"/>
        </w:tabs>
        <w:ind w:left="5800" w:hanging="360"/>
      </w:pPr>
      <w:rPr>
        <w:rFonts w:hint="default" w:ascii="Wingdings" w:hAnsi="Wingdings" w:cs="Wingdings"/>
        <w:sz w:val="20"/>
      </w:rPr>
    </w:lvl>
    <w:lvl w:ilvl="8" w:tentative="0">
      <w:start w:val="1"/>
      <w:numFmt w:val="bullet"/>
      <w:lvlText w:val=""/>
      <w:lvlJc w:val="left"/>
      <w:pPr>
        <w:tabs>
          <w:tab w:val="left" w:pos="6480"/>
        </w:tabs>
        <w:ind w:left="6520" w:hanging="360"/>
      </w:pPr>
      <w:rPr>
        <w:rFonts w:hint="default" w:ascii="Wingdings" w:hAnsi="Wingdings" w:cs="Wingdings"/>
        <w:sz w:val="20"/>
      </w:rPr>
    </w:lvl>
  </w:abstractNum>
  <w:abstractNum w:abstractNumId="1">
    <w:nsid w:val="31492D2E"/>
    <w:multiLevelType w:val="multilevel"/>
    <w:tmpl w:val="31492D2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5898C881"/>
    <w:multiLevelType w:val="multilevel"/>
    <w:tmpl w:val="5898C88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9"/>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7B710C"/>
    <w:rsid w:val="7F7B71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12</TotalTime>
  <ScaleCrop>false</ScaleCrop>
  <LinksUpToDate>false</LinksUpToDate>
  <CharactersWithSpaces>0</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2025-03-12T17:57:00Z</dcterms:created>
  <dc:creator>warshape</dc:creator>
  <cp:lastModifiedBy>warshape</cp:lastModifiedBy>
  <dcterms:modified xsi:type="dcterms:W3CDTF">2025-03-12T18:11:09Z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D95A8C88C6124887A4FCB9470D83B3FD_11</vt:lpwstr>
  </property>
</Properties>
</file>