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8"/>
        </w:rPr>
        <w:t>Polymarket BTC 5-Minute Markets:</w:t>
        <w:br/>
        <w:t>Late Momentum &amp; Expiration Trading Guide</w:t>
      </w:r>
    </w:p>
    <w:p>
      <w:pPr>
        <w:jc w:val="center"/>
      </w:pPr>
      <w:r>
        <w:rPr>
          <w:i/>
          <w:color w:val="5C768D"/>
          <w:sz w:val="24"/>
        </w:rPr>
        <w:t>Strategic Research &amp; Optimization for Sri Lankan Standard Time (SLST)</w:t>
      </w:r>
    </w:p>
    <w:p/>
    <w:p>
      <w:pPr>
        <w:pStyle w:val="Heading1"/>
      </w:pPr>
      <w:r>
        <w:rPr>
          <w:b/>
          <w:color w:val="1B365D"/>
        </w:rPr>
        <w:t>1. Executive Summary</w:t>
      </w:r>
    </w:p>
    <w:p>
      <w:r>
        <w:t>Late-slot trading on Polymarket involves entering a position in the final moments of a 5-minute contract (typically 10 to 35 seconds remaining) after a clear price direction is established. While this strategy yields extremely high win rates (historically &gt;90% on paper and live), it possesses a stark asymmetric risk profile: wins yield tiny payouts (3% to 15%), while a single loss wipes out 100% of the stake.</w:t>
        <w:br/>
        <w:br/>
        <w:t>To achieve a long-term positive mathematical edge, traders must select the correct entry price band (0.80 to 0.94), execute only when a substantial gap exists between spot and strike price, and restrict trading to low-volatility hours.</w:t>
      </w:r>
    </w:p>
    <w:p>
      <w:pPr>
        <w:pStyle w:val="Heading1"/>
      </w:pPr>
      <w:r>
        <w:rPr>
          <w:b/>
          <w:color w:val="1B365D"/>
        </w:rPr>
        <w:t>2. Best Trading Windows (Sri Lankan Time)</w:t>
      </w:r>
    </w:p>
    <w:p>
      <w:r>
        <w:t>Bitcoin's intraday volatility is heavily clustered around global market sessions. The optimal times for late momentum trades correspond to windows where BTC's volatility is low or its trend is exceptionally stable.</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b/>
                <w:color w:val="FFFFFF"/>
              </w:rPr>
              <w:t>Time Window (SLST)</w:t>
            </w:r>
          </w:p>
        </w:tc>
        <w:tc>
          <w:tcPr>
            <w:tcW w:type="dxa" w:w="2340"/>
          </w:tcPr>
          <w:p>
            <w:r>
              <w:rPr>
                <w:b/>
                <w:color w:val="FFFFFF"/>
              </w:rPr>
              <w:t>Market Session</w:t>
            </w:r>
          </w:p>
        </w:tc>
        <w:tc>
          <w:tcPr>
            <w:tcW w:type="dxa" w:w="2340"/>
          </w:tcPr>
          <w:p>
            <w:r>
              <w:rPr>
                <w:b/>
                <w:color w:val="FFFFFF"/>
              </w:rPr>
              <w:t>Volatility Regime</w:t>
            </w:r>
          </w:p>
        </w:tc>
        <w:tc>
          <w:tcPr>
            <w:tcW w:type="dxa" w:w="2340"/>
          </w:tcPr>
          <w:p>
            <w:r>
              <w:rPr>
                <w:b/>
                <w:color w:val="FFFFFF"/>
              </w:rPr>
              <w:t>Strategy Suitability</w:t>
            </w:r>
          </w:p>
        </w:tc>
      </w:tr>
      <w:tr>
        <w:tc>
          <w:tcPr>
            <w:tcW w:type="dxa" w:w="2340"/>
          </w:tcPr>
          <w:p>
            <w:r>
              <w:t>5:30 AM – 9:30 AM</w:t>
            </w:r>
          </w:p>
        </w:tc>
        <w:tc>
          <w:tcPr>
            <w:tcW w:type="dxa" w:w="2340"/>
          </w:tcPr>
          <w:p>
            <w:r>
              <w:t>Asian Morning (Tokyo/Sydney)</w:t>
            </w:r>
          </w:p>
        </w:tc>
        <w:tc>
          <w:tcPr>
            <w:tcW w:type="dxa" w:w="2340"/>
          </w:tcPr>
          <w:p>
            <w:r>
              <w:t>Low</w:t>
            </w:r>
          </w:p>
        </w:tc>
        <w:tc>
          <w:tcPr>
            <w:tcW w:type="dxa" w:w="2340"/>
          </w:tcPr>
          <w:p>
            <w:r>
              <w:t>Excellent (High EV, Safe)</w:t>
            </w:r>
          </w:p>
        </w:tc>
      </w:tr>
      <w:tr>
        <w:tc>
          <w:tcPr>
            <w:tcW w:type="dxa" w:w="2340"/>
          </w:tcPr>
          <w:p>
            <w:r>
              <w:t>2:30 AM – 4:30 AM</w:t>
            </w:r>
          </w:p>
        </w:tc>
        <w:tc>
          <w:tcPr>
            <w:tcW w:type="dxa" w:w="2340"/>
          </w:tcPr>
          <w:p>
            <w:r>
              <w:t>US Post-Close / Pre-Asia</w:t>
            </w:r>
          </w:p>
        </w:tc>
        <w:tc>
          <w:tcPr>
            <w:tcW w:type="dxa" w:w="2340"/>
          </w:tcPr>
          <w:p>
            <w:r>
              <w:t>Very Low</w:t>
            </w:r>
          </w:p>
        </w:tc>
        <w:tc>
          <w:tcPr>
            <w:tcW w:type="dxa" w:w="2340"/>
          </w:tcPr>
          <w:p>
            <w:r>
              <w:t>Excellent (High EV, Stable)</w:t>
            </w:r>
          </w:p>
        </w:tc>
      </w:tr>
      <w:tr>
        <w:tc>
          <w:tcPr>
            <w:tcW w:type="dxa" w:w="2340"/>
          </w:tcPr>
          <w:p>
            <w:r>
              <w:t>8:30 PM – 10:30 PM</w:t>
            </w:r>
          </w:p>
        </w:tc>
        <w:tc>
          <w:tcPr>
            <w:tcW w:type="dxa" w:w="2340"/>
          </w:tcPr>
          <w:p>
            <w:r>
              <w:t>Midday New York</w:t>
            </w:r>
          </w:p>
        </w:tc>
        <w:tc>
          <w:tcPr>
            <w:tcW w:type="dxa" w:w="2340"/>
          </w:tcPr>
          <w:p>
            <w:r>
              <w:t>Moderate</w:t>
            </w:r>
          </w:p>
        </w:tc>
        <w:tc>
          <w:tcPr>
            <w:tcW w:type="dxa" w:w="2340"/>
          </w:tcPr>
          <w:p>
            <w:r>
              <w:t>Good (Stable Intraday Trend)</w:t>
            </w:r>
          </w:p>
        </w:tc>
      </w:tr>
      <w:tr>
        <w:tc>
          <w:tcPr>
            <w:tcW w:type="dxa" w:w="2340"/>
          </w:tcPr>
          <w:p>
            <w:r>
              <w:t>1:30 PM – 3:30 PM</w:t>
            </w:r>
          </w:p>
        </w:tc>
        <w:tc>
          <w:tcPr>
            <w:tcW w:type="dxa" w:w="2340"/>
          </w:tcPr>
          <w:p>
            <w:r>
              <w:t>London Market Open</w:t>
            </w:r>
          </w:p>
        </w:tc>
        <w:tc>
          <w:tcPr>
            <w:tcW w:type="dxa" w:w="2340"/>
          </w:tcPr>
          <w:p>
            <w:r>
              <w:t>High</w:t>
            </w:r>
          </w:p>
        </w:tc>
        <w:tc>
          <w:tcPr>
            <w:tcW w:type="dxa" w:w="2340"/>
          </w:tcPr>
          <w:p>
            <w:r>
              <w:t>Poor (High Reversal Risk)</w:t>
            </w:r>
          </w:p>
        </w:tc>
      </w:tr>
      <w:tr>
        <w:tc>
          <w:tcPr>
            <w:tcW w:type="dxa" w:w="2340"/>
          </w:tcPr>
          <w:p>
            <w:r>
              <w:t>5:30 PM – 8:30 PM</w:t>
            </w:r>
          </w:p>
        </w:tc>
        <w:tc>
          <w:tcPr>
            <w:tcW w:type="dxa" w:w="2340"/>
          </w:tcPr>
          <w:p>
            <w:r>
              <w:t>US Pre-Market &amp; Open</w:t>
            </w:r>
          </w:p>
        </w:tc>
        <w:tc>
          <w:tcPr>
            <w:tcW w:type="dxa" w:w="2340"/>
          </w:tcPr>
          <w:p>
            <w:r>
              <w:t>Extreme</w:t>
            </w:r>
          </w:p>
        </w:tc>
        <w:tc>
          <w:tcPr>
            <w:tcW w:type="dxa" w:w="2340"/>
          </w:tcPr>
          <w:p>
            <w:r>
              <w:rPr>
                <w:b/>
                <w:color w:val="BA3C2A"/>
              </w:rPr>
              <w:t>Danger Zone (Do Not Trade)</w:t>
            </w:r>
          </w:p>
        </w:tc>
      </w:tr>
    </w:tbl>
    <w:p/>
    <w:p>
      <w:pPr>
        <w:pStyle w:val="Heading1"/>
      </w:pPr>
      <w:r>
        <w:rPr>
          <w:b/>
          <w:color w:val="1B365D"/>
        </w:rPr>
        <w:t>3. The Entry Price Sweet Spot (0.80 to 0.94)</w:t>
      </w:r>
    </w:p>
    <w:p>
      <w:r>
        <w:t>Quantitative analysis of real-world trade data indicates that the entry price is the primary determinant of long-term profitability:</w:t>
        <w:br/>
        <w:br/>
        <w:t>• Underdogs (&lt; 0.60): Speculative and highly unstable. Win rates do not compensate for the price.</w:t>
        <w:br/>
        <w:t>• Weak Favorites (0.60 to 0.80): Prone to late reversals; margin of safety is too low.</w:t>
        <w:br/>
        <w:t>• The Sweet Spot (0.80 to 0.94): Encompasses strong favorites where the price gap is substantial. Win rates historically exceed 96% in this range, providing a net positive PnL.</w:t>
        <w:br/>
        <w:t>• The Penny-Pincher Trap (&gt; 0.95): Buying at 0.96 or 0.97 means you risk $0.97 to make $0.03. Even with a 96% win rate, a single loss will wipe out 32 wins, resulting in a net loss. Never buy above 0.94.</w:t>
      </w:r>
    </w:p>
    <w:p>
      <w:pPr>
        <w:pStyle w:val="Heading1"/>
      </w:pPr>
      <w:r>
        <w:rPr>
          <w:b/>
          <w:color w:val="1B365D"/>
        </w:rPr>
        <w:t>4. Mathematical Foundations of Expiration Momentum</w:t>
      </w:r>
    </w:p>
    <w:p>
      <w:r>
        <w:t>Under a standard diffusion model, the probability of a contract resolving UP is defined by the Z-score:</w:t>
        <w:br/>
        <w:t>Z = (Spot - Strike) / (Spot * Vol_daily * sqrt(t / 86400))</w:t>
        <w:br/>
        <w:t>where t is the remaining seconds to expiration.</w:t>
        <w:br/>
        <w:br/>
        <w:t>To achieve a &gt;95% probability of winning (Z &gt;= 1.645) at $65,000 spot and 4.5% daily volatility:</w:t>
        <w:br/>
        <w:t>• With 10 seconds remaining, the spot-strike gap must be at least $16.42.</w:t>
        <w:br/>
        <w:t>• With 30 seconds remaining, the gap must be at least $28.45.</w:t>
        <w:br/>
        <w:t>• With 60 seconds remaining, the gap must be at least $40.23.</w:t>
        <w:br/>
        <w:br/>
        <w:t>If your bot enters a late trade with 30s remaining and the price gap is only $5.00, it is functionally gambling, as the True Probability is far lower than the price in the order book.</w:t>
      </w:r>
    </w:p>
    <w:p>
      <w:pPr>
        <w:pStyle w:val="Heading1"/>
      </w:pPr>
      <w:r>
        <w:rPr>
          <w:b/>
          <w:color w:val="1B365D"/>
        </w:rPr>
        <w:t>5. Real Money Microstructure Risks</w:t>
      </w:r>
    </w:p>
    <w:p>
      <w:r>
        <w:t>When transitioning from paper-trading to real money, three major risks manifest:</w:t>
        <w:br/>
        <w:br/>
        <w:t>1. Adverse Selection: Polymarket is a limit order book. If BTC moves in your direction, your limit order at 0.90 is left unfilled (missed win). If BTC drops, your order is filled, but the trade is now losing. You are statistically more likely to be filled on losing trades. Use marketable limits and cancel unfilled sizes rapidly.</w:t>
        <w:br/>
        <w:t>2. Taker Fees: Polymarket charges taker fees on short-duration markets (up to 1-2%). When buying a contract at 0.90 to win 0.10, a 1-cent fee reduces your payout to 0.09 (a 10% reduction in net yield). Sizing and edge filters must account for this fee buffer.</w:t>
        <w:br/>
        <w:t>3. Resolution Oracle Basis Risk: Polymarket resolves on the Chainlink BTC/USD price feed at expiration. If your bot uses Binance/Coinbase spot feeds, a $2-$5 discrepancy can occur, resulting in a loss on close trades. Ensure your price feed reads the Chainlink stream directly.</w:t>
      </w:r>
    </w:p>
    <w:p>
      <w:pPr>
        <w:pStyle w:val="Heading1"/>
      </w:pPr>
      <w:r>
        <w:rPr>
          <w:b/>
          <w:color w:val="1B365D"/>
        </w:rPr>
        <w:t>6. Actionable Bot Configuration Settings</w:t>
      </w:r>
    </w:p>
    <w:p>
      <w:r>
        <w:t>To implement these findings, apply the following settings in your bot's .env file:</w:t>
        <w:br/>
        <w:br/>
        <w:t>STRATEGY=late_momentum</w:t>
        <w:br/>
        <w:t>LATE_MOMENTUM_BIDIRECTIONAL=True</w:t>
        <w:br/>
        <w:t>LATE_MOMENTUM_TIME_LIMIT=35          # Limit time to reduce reversal window</w:t>
        <w:br/>
        <w:t>LATE_MOMENTUM_MIN_REMAINING=10</w:t>
        <w:br/>
        <w:t>LATE_MOMENTUM_MIN_MOVE=15.0          # Enforce a strong USD gap from strike</w:t>
        <w:br/>
        <w:t>MIN_ENTRY_PRICE=0.80                 # Avoid cheap coin-flips</w:t>
        <w:br/>
        <w:t>MAX_ENTRY_PRICE=0.94                 # Avoid the penny-pincher trap</w:t>
        <w:br/>
        <w:t>LATE_SCALP_REQUIRE_CHAINLINK=True    # Avoid resolution basis risk</w:t>
        <w:br/>
        <w:t>BTC_PRICE_SOURCES=chainlink_stream,chainlink</w:t>
        <w:br/>
        <w:t>FIXED_STAKE_USD=1.0                  # Conservative sizing for live mode</w:t>
        <w:br/>
        <w:t>DAILY_LOSS_LIMIT_USD=5.0             # Daily loss threshold</w:t>
        <w:br/>
        <w:t>MAX_CONSECUTIVE_LOSSES=2             # Consecutive loss limit</w:t>
        <w:br/>
        <w:t>MAX_SPREAD=0.04                      # Spread filter to save fee costs</w:t>
        <w:br/>
        <w:t>FEE_BUFFER=0.015                     # Compensate for dynamic taker fees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