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DIAGNOSIS BY MEDICAL STAFF (CATEGORY I)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ensure that only licensed medical providers diagnose medical conditions, in accordance with AASM Standard C-3 (Category I).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only a licensed medical provider may diagnose a medical condition. Non-physician staff may perform testing and provide technical services, but diagnosis requires a licensed medical provider. Compliance with this standard is a Category I requirement; non-compliance may result in denial or revocation of accreditation.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Diagnosis Authority</w:t>
      </w:r>
    </w:p>
    <w:p>
      <w:pPr>
        <w:pStyle w:val="SampleListStyles-SampleNumListTier2Start"/>
      </w:pPr>
      <w:r>
        <w:t>Only a licensed medical provider (physician, DO, or appropriately licensed advanced practice provider acting within the scope of their license and state law) may diagnose a medical condition.</w:t>
      </w:r>
    </w:p>
    <w:p>
      <w:pPr>
        <w:pStyle w:val="SampleListStyles-SampleNumListTier2Start"/>
      </w:pPr>
      <w:r>
        <w:t>Sleep study interpretation alone does not constitute a diagnosis. Diagnosis requires attribution of the sleep study interpretation, together with the patient's signs and symptoms, to an underlying sleep disorder by a licensed medical provider.</w:t>
      </w:r>
    </w:p>
    <w:p>
      <w:pPr>
        <w:pStyle w:val="SampleListStyles-SampleNumListTier2Start"/>
      </w:pPr>
      <w:r>
        <w:t>Technical and administrative staff must not communicate diagnoses to patients or referring providers.</w:t>
      </w:r>
    </w:p>
    <w:p>
      <w:pPr>
        <w:pStyle w:val="SampleListStyles-SampleNumListTier1Continue"/>
      </w:pPr>
      <w:r>
        <w:t>Documentation</w:t>
      </w:r>
    </w:p>
    <w:p>
      <w:pPr>
        <w:pStyle w:val="SampleListStyles-SampleNumListTier2Start"/>
      </w:pPr>
      <w:r>
        <w:t>All diagnoses must be documented in the patient's medical record by the ordering licensed medical provider.</w:t>
      </w:r>
    </w:p>
    <w:p>
      <w:pPr>
        <w:pStyle w:val="SampleListStyles-SampleNumListTier2Start"/>
      </w:pPr>
      <w:r>
        <w:t>Reports sent to referring providers must clearly identify the interpreting/diagnosing physician or licensed provider.</w:t>
      </w:r>
    </w:p>
    <w:p>
      <w:pPr>
        <w:pStyle w:val="SampleListStyles-SampleNumListTier2Start"/>
      </w:pPr>
      <w:r>
        <w:t>The Site Director is responsible for ensuring appropriate staff understand the limits of their scope of practice with respect to diagnosis.</w:t>
      </w:r>
    </w:p>
    <w:p>
      <w:pPr>
        <w:pStyle w:val="SampleListStyles-SampleNumListTier1Continue"/>
      </w:pPr>
      <w:r>
        <w:t>Telemedicine</w:t>
      </w:r>
    </w:p>
    <w:p>
      <w:pPr>
        <w:pStyle w:val="SampleListStyles-SampleNumListTier2Start"/>
      </w:pPr>
      <w:r>
        <w:t>Telemedicine tools may be used in the provision of sleep medicine services to expand access to care, in accordance with applicable state laws and AASM recommendations.</w:t>
      </w:r>
    </w:p>
    <w:p>
      <w:pPr>
        <w:pStyle w:val="SampleListStyles-SampleNumListTier2Start"/>
      </w:pPr>
      <w:r>
        <w:t>All diagnoses made via telemedicine must be documented in accordance with applicable state and federal telemedicine regulations.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