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PAP ASSESSMENT AND FOLLOW-UP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all patients prescribed PAP treatment receive appropriate follow-up assessment within the timeframe required by AASM Standard C-5.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all patients prescribed PAP treatment by the entity's medical staff must be offered a follow-up PAP assessment within 12 weeks of treatment initiation. The PAP assessment must include both objective device download data and subjective patient-reported response to therapy.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PAP Assessment Requirements</w:t>
      </w:r>
    </w:p>
    <w:p>
      <w:pPr>
        <w:pStyle w:val="SampleListStyles-SampleNumListTier2Start"/>
      </w:pPr>
      <w:r>
        <w:t>All patients prescribed PAP treatment by the entity's medical staff must be offered a follow-up PAP assessment within 12 weeks of treatment initiation.</w:t>
      </w:r>
    </w:p>
    <w:p>
      <w:pPr>
        <w:pStyle w:val="SampleListStyles-SampleNumListTier2Start"/>
      </w:pPr>
      <w:r>
        <w:t>The PAP assessment must include: (1) Documentation of review of device download confirming response to therapy and adequate adherence as defined by the AASM; AND (2) Documentation of subjective response to therapy such as a questionnaire or patient report during face-to-face encounter.</w:t>
      </w:r>
    </w:p>
    <w:p>
      <w:pPr>
        <w:pStyle w:val="SampleListStyles-SampleNumListTier2Start"/>
      </w:pPr>
      <w:r>
        <w:t>The patient medical record must contain documentation of the assessment, OR written evidence of follow-up attempts to obtain assessment information.</w:t>
      </w:r>
    </w:p>
    <w:p>
      <w:pPr>
        <w:pStyle w:val="SampleListStyles-SampleNumListTier1Continue"/>
      </w:pPr>
      <w:r>
        <w:t>Follow-Up Procedures</w:t>
      </w:r>
    </w:p>
    <w:p>
      <w:pPr>
        <w:pStyle w:val="SampleListStyles-SampleNumListTier2Start"/>
      </w:pPr>
      <w:r>
        <w:t>Clinic staff will contact patients at approximately 8 weeks after treatment initiation to gather subjective response information and arrange device download review.</w:t>
      </w:r>
    </w:p>
    <w:p>
      <w:pPr>
        <w:pStyle w:val="SampleListStyles-SampleNumListTier2Start"/>
      </w:pPr>
      <w:r>
        <w:t>If the patient does not respond to initial contact, staff will make additional attempts via telephone and letter to complete the PAP assessment.</w:t>
      </w:r>
    </w:p>
    <w:p>
      <w:pPr>
        <w:pStyle w:val="SampleListStyles-SampleNumListTier2Start"/>
      </w:pPr>
      <w:r>
        <w:t>All contact attempts must be documented in the patient's medical record.</w:t>
      </w:r>
    </w:p>
    <w:p>
      <w:pPr>
        <w:pStyle w:val="SampleListStyles-SampleNumListTier2Start"/>
      </w:pPr>
      <w:r>
        <w:t>If initial contact is unsuccessful, staff will attempt to schedule an in-person appointment.</w:t>
      </w:r>
    </w:p>
    <w:p>
      <w:pPr>
        <w:pStyle w:val="SampleListStyles-SampleNumListTier1Continue"/>
      </w:pPr>
      <w:r>
        <w:t>Inadequate Response Management</w:t>
      </w:r>
    </w:p>
    <w:p>
      <w:pPr>
        <w:pStyle w:val="SampleListStyles-SampleNumListTier2Start"/>
      </w:pPr>
      <w:r>
        <w:t>If the device download indicates inadequate adherence, or if the patient reports inadequate response to therapy, a follow-up visit must be scheduled or offered.</w:t>
      </w:r>
    </w:p>
    <w:p>
      <w:pPr>
        <w:pStyle w:val="SampleListStyles-SampleNumListTier2Start"/>
      </w:pPr>
      <w:r>
        <w:t>Follow-up visits for inadequate response must include: assessment of device use and causes of intolerance or non-acceptance, review of device download, review of device-patient interface, and consideration of other underlying causes of inadequate response.</w:t>
      </w:r>
    </w:p>
    <w:p>
      <w:pPr>
        <w:pStyle w:val="SampleListStyles-SampleNumListTier2Start"/>
      </w:pPr>
      <w:r>
        <w:t>All follow-up visits and findings must be documented in the patient's medical record.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