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HSAT SUBCONTRACTING POLICY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define requirements and oversight obligations when the entity subcontracts HSAT services or sleep study scoring, in accordance with AASM Standards H-8 and H-9.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any subcontracting of HSAT services or sleep study scoring must be governed by a written agreement that clearly defines expectations, compliance requirements, and annual performance assessment obligations. Diagnosis of a medical condition may never be subcontracted and must remain the responsibility of the entity's appropriately licensed physicians or advanced practice providers.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Subcontracting HSAT Services (H-8)</w:t>
      </w:r>
    </w:p>
    <w:p>
      <w:pPr>
        <w:pStyle w:val="SampleListStyles-SampleNumListTier2Start"/>
      </w:pPr>
      <w:r>
        <w:t>The entity may subcontract providing home sleep apnea tests.</w:t>
      </w:r>
    </w:p>
    <w:p>
      <w:pPr>
        <w:pStyle w:val="SampleListStyles-SampleNumListTier2Start"/>
      </w:pPr>
      <w:r>
        <w:t>The subcontract MUST NOT include diagnosis of a medical condition; diagnosis remains the responsibility of the entity's appropriately licensed physician or advanced practice provider.</w:t>
      </w:r>
    </w:p>
    <w:p>
      <w:pPr>
        <w:pStyle w:val="SampleListStyles-SampleNumListTier2Start"/>
      </w:pPr>
      <w:r>
        <w:t>A written agreement must be maintained with the HSAT subcontractor that: clearly identifies the specific expectations of the subcontractor; and requires the subcontractor to meet all applicable AASM HSAT Standards.</w:t>
      </w:r>
    </w:p>
    <w:p>
      <w:pPr>
        <w:pStyle w:val="SampleListStyles-SampleNumListTier2Start"/>
      </w:pPr>
      <w:r>
        <w:t>The entity is responsible for assessing the performance of the subcontractor in meeting contractual obligations on an annual basis.</w:t>
      </w:r>
    </w:p>
    <w:p>
      <w:pPr>
        <w:pStyle w:val="SampleListStyles-SampleNumListTier1Continue"/>
      </w:pPr>
      <w:r>
        <w:t>Subcontracting Scoring Services (H-9)</w:t>
      </w:r>
    </w:p>
    <w:p>
      <w:pPr>
        <w:pStyle w:val="SampleListStyles-SampleNumListTier2Start"/>
      </w:pPr>
      <w:r>
        <w:t>When a subcontractor scores sleep studies, the entity must have a written agreement with the subcontractor that enumerates performance expectations.</w:t>
      </w:r>
    </w:p>
    <w:p>
      <w:pPr>
        <w:pStyle w:val="SampleListStyles-SampleNumListTier2Start"/>
      </w:pPr>
      <w:r>
        <w:t>All scorers employed by the subcontractor must meet all applicable AASM Accreditation standards for scoring personnel (as defined in Standard N-13).</w:t>
      </w:r>
    </w:p>
    <w:p>
      <w:pPr>
        <w:pStyle w:val="SampleListStyles-SampleNumListTier2Start"/>
      </w:pPr>
      <w:r>
        <w:t>The entity is responsible for assessing the performance of the subcontractor in meeting contractual obligations on an annual basis.</w:t>
      </w:r>
    </w:p>
    <w:p>
      <w:pPr>
        <w:pStyle w:val="SampleListStyles-SampleNumListTier1Continue"/>
      </w:pPr>
      <w:r>
        <w:t>Annual Subcontractor Review</w:t>
      </w:r>
    </w:p>
    <w:p>
      <w:pPr>
        <w:pStyle w:val="SampleListStyles-SampleNumListTier2Start"/>
      </w:pPr>
      <w:r>
        <w:t>Subcontractor performance must be formally assessed on an annual basis.</w:t>
      </w:r>
    </w:p>
    <w:p>
      <w:pPr>
        <w:pStyle w:val="SampleListStyles-SampleNumListTier2Start"/>
      </w:pPr>
      <w:r>
        <w:t>The review must assess compliance with contractual terms, applicable AASM standards, and quality of services provided.</w:t>
      </w:r>
    </w:p>
    <w:p>
      <w:pPr>
        <w:pStyle w:val="SampleListStyles-SampleNumListTier2Start"/>
      </w:pPr>
      <w:r>
        <w:t>Documentation of the annual review must be maintained on file for a minimum of five (5) years.</w:t>
      </w:r>
    </w:p>
    <w:p>
      <w:pPr>
        <w:pStyle w:val="SampleListStyles-SampleNumListTier2Start"/>
      </w:pPr>
      <w:r>
        <w:t>Any identified deficiencies must be communicated to the subcontractor with a plan for corrective action.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