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SLEEP CLINIC RELATIONSHIP POLICY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the DME Supplier maintains a formal relationship with an AASM-accredited Sleep Clinic, in accordance with AASM Standard D-9.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the DME Supplier must maintain an established relationship with an AASM-accredited Sleep Clinic. This relationship ensures that patients receiving DME services have access to comprehensive sleep medicine evaluation and management.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AASM-Accredited Sleep Clinic Relationship</w:t>
      </w:r>
    </w:p>
    <w:p>
      <w:pPr>
        <w:pStyle w:val="SampleListStyles-SampleNumListTier2Start"/>
      </w:pPr>
      <w:r>
        <w:t>The DME Supplier must maintain a formal relationship with at least one AASM-accredited Sleep Clinic.</w:t>
      </w:r>
    </w:p>
    <w:p>
      <w:pPr>
        <w:pStyle w:val="SampleListStyles-SampleNumListTier2Start"/>
      </w:pPr>
      <w:r>
        <w:t>Documentation of this relationship must be maintained on file, including the name and AASM accreditation number of the associated Sleep Clinic.</w:t>
      </w:r>
    </w:p>
    <w:p>
      <w:pPr>
        <w:pStyle w:val="SampleListStyles-SampleNumListTier2Start"/>
      </w:pPr>
      <w:r>
        <w:t>The relationship must ensure that patients receiving DME services have access to comprehensive sleep medicine evaluation, management, and follow-up.</w:t>
      </w:r>
    </w:p>
    <w:p>
      <w:pPr>
        <w:pStyle w:val="SampleListStyles-SampleNumListTier2Start"/>
      </w:pPr>
      <w:r>
        <w:t>The accreditation status of the associated Sleep Clinic must be verified at least annually.</w:t>
      </w:r>
    </w:p>
    <w:p>
      <w:pPr>
        <w:pStyle w:val="SampleListStyles-SampleNumListTier1Continue"/>
      </w:pPr>
      <w:r>
        <w:t>Coordination of Care</w:t>
      </w:r>
    </w:p>
    <w:p>
      <w:pPr>
        <w:pStyle w:val="SampleListStyles-SampleNumListTier2Start"/>
      </w:pPr>
      <w:r>
        <w:t>The DME Supplier must coordinate with the ordering healthcare professional from the associated Sleep Clinic to ensure appropriate patient management.</w:t>
      </w:r>
    </w:p>
    <w:p>
      <w:pPr>
        <w:pStyle w:val="SampleListStyles-SampleNumListTier2Start"/>
      </w:pPr>
      <w:r>
        <w:t>Information relevant to patient treatment, including PAP compliance data and equipment issues, must be communicated to the associated Sleep Clinic as appropriate.</w:t>
      </w:r>
    </w:p>
    <w:p>
      <w:pPr>
        <w:pStyle w:val="SampleListStyles-SampleNumListTier2Start"/>
      </w:pPr>
      <w:r>
        <w:t>Any changes in the associated Sleep Clinic relationship must be reported to AASM promptly.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