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year’s academic events have been of exceptional quality—from the Analysis revision lecture in Term 1 to the wide range of maths competitions made easily available. As a society, we’ve had great opportunities to engage with challenging maths, and many of these events have been incredibly useful in improving our understanding and boosting our grades. I want to help us build on that success next year.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like to introduce more problem-solving workshops, as I believe that increased exposure to diverse problem types will boost our performance in competitions. Additionally, I want to bring in more team-based and cross-society events, giving us the chance to collaborate with students from different backgrounds. These initiatives would not only make problem-solving more fun and engaging but also expose us to novel approaches that can develop stronger problem-solving intuition.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