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Data Governance Approval</w:t>
      </w:r>
    </w:p>
    <w:p>
      <w:r>
        <w:t xml:space="preserve">This document confirms that the municipal data described in the case study was accessed under a data-sharing agreement and fully anonymised before analysis.</w:t>
      </w:r>
    </w:p>
    <w:p>
      <w:r>
        <w:t xml:space="preserve">No personally identifiable information is reproduced in the manuscript or its supplementary materials.</w:t>
      </w:r>
    </w:p>
    <w:p>
      <w:r>
        <w:t xml:space="preserve">Reference: DGA-2023-0147.</w:t>
      </w:r>
    </w:p>
  </w:body>
</w:document>
</file>