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60" w:before="0"/>
        <w:jc w:val="center"/>
      </w:pPr>
      <w:r>
        <w:rPr>
          <w:rFonts w:ascii="Arial" w:cs="Arial" w:eastAsia="Arial" w:hAnsi="Arial"/>
          <w:b/>
          <w:bCs/>
          <w:color w:val="64748B"/>
          <w:sz w:val="22"/>
          <w:szCs w:val="22"/>
        </w:rPr>
        <w:t xml:space="preserve">PT CLISTE REKAYASA INDONESIA</w:t>
      </w:r>
    </w:p>
    <w:p>
      <w:pPr>
        <w:spacing w:after="200" w:before="0"/>
        <w:jc w:val="center"/>
      </w:pPr>
      <w:r>
        <w:rPr>
          <w:rFonts w:ascii="Arial" w:cs="Arial" w:eastAsia="Arial" w:hAnsi="Arial"/>
          <w:color w:val="64748B"/>
          <w:sz w:val="20"/>
          <w:szCs w:val="20"/>
        </w:rPr>
        <w:t xml:space="preserve">TECHNOLOGY STRATEGY &amp; PRODUCT ROADMAP</w:t>
      </w:r>
    </w:p>
    <w:p>
      <w:pPr>
        <w:shd w:fill="003478" w:val="clear"/>
        <w:spacing w:after="60" w:before="0"/>
        <w:jc w:val="center"/>
      </w:pPr>
      <w:r>
        <w:rPr>
          <w:rFonts w:ascii="Arial" w:cs="Arial" w:eastAsia="Arial" w:hAnsi="Arial"/>
          <w:sz w:val="10"/>
          <w:szCs w:val="10"/>
        </w:rPr>
        <w:t xml:space="preserve"> </w:t>
      </w:r>
    </w:p>
    <w:p>
      <w:pPr>
        <w:spacing w:after="0" w:before="80"/>
      </w:pPr>
    </w:p>
    <w:p>
      <w:pPr>
        <w:spacing w:after="40" w:before="0"/>
        <w:jc w:val="center"/>
      </w:pPr>
      <w:r>
        <w:rPr>
          <w:rFonts w:ascii="Arial" w:cs="Arial" w:eastAsia="Arial" w:hAnsi="Arial"/>
          <w:b/>
          <w:bCs/>
          <w:color w:val="003478"/>
          <w:sz w:val="52"/>
          <w:szCs w:val="52"/>
        </w:rPr>
        <w:t xml:space="preserve">RESEARCH &amp; BRAINSTORM REPORT</w:t>
      </w:r>
    </w:p>
    <w:p>
      <w:pPr>
        <w:spacing w:after="80" w:before="0"/>
        <w:jc w:val="center"/>
      </w:pPr>
      <w:r>
        <w:rPr>
          <w:rFonts w:ascii="Arial" w:cs="Arial" w:eastAsia="Arial" w:hAnsi="Arial"/>
          <w:color w:val="334155"/>
          <w:sz w:val="28"/>
          <w:szCs w:val="28"/>
        </w:rPr>
        <w:t xml:space="preserve">Industrial Intelligence Ecosystem — Indonesia Market Analysis,</w:t>
      </w:r>
    </w:p>
    <w:p>
      <w:pPr>
        <w:spacing w:after="400" w:before="0"/>
        <w:jc w:val="center"/>
      </w:pPr>
      <w:r>
        <w:rPr>
          <w:rFonts w:ascii="Arial" w:cs="Arial" w:eastAsia="Arial" w:hAnsi="Arial"/>
          <w:color w:val="334155"/>
          <w:sz w:val="28"/>
          <w:szCs w:val="28"/>
        </w:rPr>
        <w:t xml:space="preserve">Tech Trajectory, and Product Opportunity Landscape</w:t>
      </w:r>
    </w:p>
    <w:p>
      <w:pPr>
        <w:shd w:fill="003478" w:val="clear"/>
        <w:spacing w:after="60" w:before="0"/>
        <w:jc w:val="center"/>
      </w:pPr>
      <w:r>
        <w:rPr>
          <w:rFonts w:ascii="Arial" w:cs="Arial" w:eastAsia="Arial" w:hAnsi="Arial"/>
          <w:sz w:val="6"/>
          <w:szCs w:val="6"/>
        </w:rPr>
        <w:t xml:space="preserve"> </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64748B"/>
                <w:sz w:val="20"/>
                <w:szCs w:val="20"/>
              </w:rPr>
              <w:t xml:space="preserve">Prepared by</w:t>
            </w:r>
          </w:p>
        </w:tc>
        <w:tc>
          <w:tcPr>
            <w:tcW w:type="dxa" w:w="7026"/>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4155"/>
                <w:sz w:val="22"/>
                <w:szCs w:val="22"/>
              </w:rPr>
              <w:t xml:space="preserve">Diya / PT Cliste Rekayasa Indonesia</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64748B"/>
                <w:sz w:val="20"/>
                <w:szCs w:val="20"/>
              </w:rPr>
              <w:t xml:space="preserve">Date</w:t>
            </w:r>
          </w:p>
        </w:tc>
        <w:tc>
          <w:tcPr>
            <w:tcW w:type="dxa" w:w="7026"/>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4155"/>
                <w:sz w:val="22"/>
                <w:szCs w:val="22"/>
              </w:rPr>
              <w:t xml:space="preserve">June 2026</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64748B"/>
                <w:sz w:val="20"/>
                <w:szCs w:val="20"/>
              </w:rPr>
              <w:t xml:space="preserve">Classification</w:t>
            </w:r>
          </w:p>
        </w:tc>
        <w:tc>
          <w:tcPr>
            <w:tcW w:type="dxa" w:w="7026"/>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4155"/>
                <w:sz w:val="22"/>
                <w:szCs w:val="22"/>
              </w:rPr>
              <w:t xml:space="preserve">Internal — Confidential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64748B"/>
                <w:sz w:val="20"/>
                <w:szCs w:val="20"/>
              </w:rPr>
              <w:t xml:space="preserve">Version</w:t>
            </w:r>
          </w:p>
        </w:tc>
        <w:tc>
          <w:tcPr>
            <w:tcW w:type="dxa" w:w="7026"/>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4155"/>
                <w:sz w:val="22"/>
                <w:szCs w:val="22"/>
              </w:rPr>
              <w:t xml:space="preserve">1.0 — Initial Research Release</w:t>
            </w:r>
          </w:p>
        </w:tc>
      </w:tr>
    </w:tbl>
    <w:p>
      <w:r>
        <w:br w:type="page"/>
      </w:r>
    </w:p>
    <w:p>
      <w:pPr>
        <w:pStyle w:val="Heading1"/>
        <w:shd w:fill="003478" w:val="clear"/>
        <w:spacing w:after="120" w:before="360"/>
        <w:ind w:left="200" w:right="200"/>
      </w:pPr>
      <w:r>
        <w:rPr>
          <w:rFonts w:ascii="Arial" w:cs="Arial" w:eastAsia="Arial" w:hAnsi="Arial"/>
          <w:b/>
          <w:bCs/>
          <w:color w:val="FFFFFF"/>
          <w:sz w:val="36"/>
          <w:szCs w:val="36"/>
        </w:rPr>
        <w:t xml:space="preserve">01  Executive Summary</w:t>
      </w:r>
    </w:p>
    <w:p>
      <w:pPr>
        <w:spacing w:after="0" w:before="80"/>
        <w:jc w:val="left"/>
      </w:pPr>
      <w:r>
        <w:rPr>
          <w:rFonts w:ascii="Arial" w:cs="Arial" w:eastAsia="Arial" w:hAnsi="Arial"/>
          <w:b w:val="false"/>
          <w:bCs w:val="false"/>
          <w:color w:val="334155"/>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single" w:color="003478" w:sz="1"/>
              <w:left w:val="single" w:color="003478" w:sz="1"/>
              <w:bottom w:val="single" w:color="003478" w:sz="1"/>
              <w:right w:val="single" w:color="003478" w:sz="1"/>
            </w:tcBorders>
            <w:shd w:fill="DBEAFE" w:val="clear"/>
            <w:tcMar>
              <w:top w:type="dxa" w:w="80"/>
              <w:left w:type="dxa" w:w="160"/>
              <w:bottom w:type="dxa" w:w="40"/>
              <w:right w:type="dxa" w:w="160"/>
            </w:tcMar>
          </w:tcPr>
          <w:p>
            <w:r>
              <w:rPr>
                <w:rFonts w:ascii="Arial" w:cs="Arial" w:eastAsia="Arial" w:hAnsi="Arial"/>
                <w:b/>
                <w:bCs/>
                <w:color w:val="003478"/>
                <w:sz w:val="18"/>
                <w:szCs w:val="18"/>
              </w:rPr>
              <w:t xml:space="preserve">STRATEGIC CONTEXT</w:t>
            </w:r>
          </w:p>
        </w:tc>
      </w:tr>
      <w:tr>
        <w:tc>
          <w:tcPr>
            <w:tcBorders>
              <w:top w:val="single" w:color="003478" w:sz="1"/>
              <w:left w:val="single" w:color="003478" w:sz="1"/>
              <w:bottom w:val="single" w:color="003478" w:sz="1"/>
              <w:right w:val="single" w:color="003478" w:sz="1"/>
            </w:tcBorders>
            <w:shd w:fill="DBEAFE" w:val="clear"/>
            <w:tcMar>
              <w:top w:type="dxa" w:w="80"/>
              <w:left w:type="dxa" w:w="160"/>
              <w:bottom w:type="dxa" w:w="80"/>
              <w:right w:type="dxa" w:w="160"/>
            </w:tcMar>
          </w:tcPr>
          <w:p>
            <w:pPr>
              <w:spacing w:after="0" w:before="0"/>
            </w:pPr>
            <w:r>
              <w:rPr>
                <w:rFonts w:ascii="Arial" w:cs="Arial" w:eastAsia="Arial" w:hAnsi="Arial"/>
                <w:color w:val="334155"/>
                <w:sz w:val="21"/>
                <w:szCs w:val="21"/>
              </w:rPr>
              <w:t xml:space="preserve">CRI already owns the rarest asset in Indonesian industrial software: a deployed, ISO-compliant, multi-module asset management platform (Excellence/AIRMS) with real clients in the oil &amp; gas sector. The strategic question is no longer "can we build it?" — it is "how fast can we extend the moat?"</w:t>
            </w:r>
          </w:p>
        </w:tc>
      </w:tr>
    </w:tbl>
    <w:p>
      <w:pPr>
        <w:spacing w:after="0" w:before="120"/>
        <w:jc w:val="left"/>
      </w:pPr>
      <w:r>
        <w:rPr>
          <w:rFonts w:ascii="Arial" w:cs="Arial" w:eastAsia="Arial" w:hAnsi="Arial"/>
          <w:b w:val="false"/>
          <w:bCs w:val="false"/>
          <w:color w:val="334155"/>
          <w:sz w:val="22"/>
          <w:szCs w:val="22"/>
        </w:rPr>
        <w:t xml:space="preserve"/>
      </w:r>
    </w:p>
    <w:p>
      <w:pPr>
        <w:pStyle w:val="Heading3"/>
        <w:spacing w:after="80" w:before="200"/>
      </w:pPr>
      <w:r>
        <w:rPr>
          <w:rFonts w:ascii="Arial" w:cs="Arial" w:eastAsia="Arial" w:hAnsi="Arial"/>
          <w:b/>
          <w:bCs/>
          <w:color w:val="334155"/>
          <w:sz w:val="24"/>
          <w:szCs w:val="24"/>
        </w:rPr>
        <w:t xml:space="preserve">Core thesis</w:t>
      </w:r>
    </w:p>
    <w:p>
      <w:pPr>
        <w:spacing w:after="80" w:before="80"/>
        <w:jc w:val="left"/>
      </w:pPr>
      <w:r>
        <w:rPr>
          <w:rFonts w:ascii="Arial" w:cs="Arial" w:eastAsia="Arial" w:hAnsi="Arial"/>
          <w:b w:val="false"/>
          <w:bCs w:val="false"/>
          <w:color w:val="334155"/>
          <w:sz w:val="22"/>
          <w:szCs w:val="22"/>
        </w:rPr>
        <w:t xml:space="preserve">Industrial Indonesia is entering its most asset-intensive decade. Six overlapping forces are converging simultaneously: (1) the global nickel supercycle driven by EV battery demand, (2) Indonesia's $15B geothermal investment pipeline, (3) mandatory ESG reporting across listed and export-facing companies, (4) an aging O&amp;G asset base requiring reliability investment, (5) the proven commercial viability of Cognitive Digital Twins in 2026, and (6) a critical labor shortage of qualified reliability engineers.</w:t>
      </w:r>
    </w:p>
    <w:p>
      <w:pPr>
        <w:spacing w:after="80" w:before="80"/>
        <w:jc w:val="left"/>
      </w:pPr>
      <w:r>
        <w:rPr>
          <w:rFonts w:ascii="Arial" w:cs="Arial" w:eastAsia="Arial" w:hAnsi="Arial"/>
          <w:b w:val="false"/>
          <w:bCs w:val="false"/>
          <w:color w:val="334155"/>
          <w:sz w:val="22"/>
          <w:szCs w:val="22"/>
        </w:rPr>
        <w:t xml:space="preserve">Excellence is already positioned at the center of this convergence. The task is to build a concentric product ecosystem — layers of hardware, AI intelligence, vertical modules, and field tooling — all of which funnel data into Excellence and amplify its stickiness with every new component deployed.</w:t>
      </w:r>
    </w:p>
    <w:p>
      <w:pPr>
        <w:pStyle w:val="Heading3"/>
        <w:spacing w:after="80" w:before="200"/>
      </w:pPr>
      <w:r>
        <w:rPr>
          <w:rFonts w:ascii="Arial" w:cs="Arial" w:eastAsia="Arial" w:hAnsi="Arial"/>
          <w:b/>
          <w:bCs/>
          <w:color w:val="334155"/>
          <w:sz w:val="24"/>
          <w:szCs w:val="24"/>
        </w:rPr>
        <w:t xml:space="preserve">Priority product ideas (ranked by impact/effort)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026"/>
      </w:tblGrid>
      <w:tr>
        <w:trPr>
          <w:tblHeader/>
        </w:trPr>
        <w:tc>
          <w:tcPr>
            <w:tcW w:type="dxa" w:w="800"/>
            <w:tcBorders>
              <w:top w:val="single" w:color="003478" w:sz="1"/>
              <w:left w:val="single" w:color="003478" w:sz="1"/>
              <w:bottom w:val="single" w:color="003478" w:sz="1"/>
              <w:right w:val="single" w:color="003478" w:sz="1"/>
            </w:tcBorders>
            <w:shd w:fill="003478" w:val="clear"/>
            <w:tcMar>
              <w:top w:type="dxa" w:w="100"/>
              <w:left w:type="dxa" w:w="140"/>
              <w:bottom w:type="dxa" w:w="100"/>
              <w:right w:type="dxa" w:w="140"/>
            </w:tcMar>
          </w:tcPr>
          <w:p>
            <w:r>
              <w:rPr>
                <w:rFonts w:ascii="Arial" w:cs="Arial" w:eastAsia="Arial" w:hAnsi="Arial"/>
                <w:b/>
                <w:bCs/>
                <w:color w:val="FFFFFF"/>
                <w:sz w:val="20"/>
                <w:szCs w:val="20"/>
              </w:rPr>
              <w:t xml:space="preserve">Rank</w:t>
            </w:r>
          </w:p>
        </w:tc>
        <w:tc>
          <w:tcPr>
            <w:tcW w:type="dxa" w:w="2200"/>
            <w:tcBorders>
              <w:top w:val="single" w:color="003478" w:sz="1"/>
              <w:left w:val="single" w:color="003478" w:sz="1"/>
              <w:bottom w:val="single" w:color="003478" w:sz="1"/>
              <w:right w:val="single" w:color="003478" w:sz="1"/>
            </w:tcBorders>
            <w:shd w:fill="003478" w:val="clear"/>
            <w:tcMar>
              <w:top w:type="dxa" w:w="100"/>
              <w:left w:type="dxa" w:w="140"/>
              <w:bottom w:type="dxa" w:w="100"/>
              <w:right w:type="dxa" w:w="140"/>
            </w:tcMar>
          </w:tcPr>
          <w:p>
            <w:r>
              <w:rPr>
                <w:rFonts w:ascii="Arial" w:cs="Arial" w:eastAsia="Arial" w:hAnsi="Arial"/>
                <w:b/>
                <w:bCs/>
                <w:color w:val="FFFFFF"/>
                <w:sz w:val="20"/>
                <w:szCs w:val="20"/>
              </w:rPr>
              <w:t xml:space="preserve">Product</w:t>
            </w:r>
          </w:p>
        </w:tc>
        <w:tc>
          <w:tcPr>
            <w:tcW w:type="dxa" w:w="6026"/>
            <w:tcBorders>
              <w:top w:val="single" w:color="003478" w:sz="1"/>
              <w:left w:val="single" w:color="003478" w:sz="1"/>
              <w:bottom w:val="single" w:color="003478" w:sz="1"/>
              <w:right w:val="single" w:color="003478" w:sz="1"/>
            </w:tcBorders>
            <w:shd w:fill="003478" w:val="clear"/>
            <w:tcMar>
              <w:top w:type="dxa" w:w="100"/>
              <w:left w:type="dxa" w:w="140"/>
              <w:bottom w:type="dxa" w:w="100"/>
              <w:right w:type="dxa" w:w="140"/>
            </w:tcMar>
          </w:tcPr>
          <w:p>
            <w:r>
              <w:rPr>
                <w:rFonts w:ascii="Arial" w:cs="Arial" w:eastAsia="Arial" w:hAnsi="Arial"/>
                <w:b/>
                <w:bCs/>
                <w:color w:val="FFFFFF"/>
                <w:sz w:val="20"/>
                <w:szCs w:val="20"/>
              </w:rPr>
              <w:t xml:space="preserve">One-line thesis</w:t>
            </w:r>
          </w:p>
        </w:tc>
      </w:tr>
      <w:tr>
        <w:tc>
          <w:tcPr>
            <w:tcW w:type="dxa" w:w="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#1</w:t>
            </w:r>
          </w:p>
        </w:tc>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Xellena Agentic AI</w:t>
            </w:r>
          </w:p>
        </w:tc>
        <w:tc>
          <w:tcPr>
            <w:tcW w:type="dxa" w:w="6026"/>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Evolve from advisory to autonomous — AI that generates work orders, triggers ITPM, and closes the reliability loop without waiting for an engineer.</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#2</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Turnaround (TA) Management Module</w:t>
            </w:r>
          </w:p>
        </w:tc>
        <w:tc>
          <w:tcPr>
            <w:tcW w:type="dxa" w:w="60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Every O&amp;G facility runs a TA worth billions. Currently managed in Excel. Direct upsell to every existing Excellence client.</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#3</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Edge Intelligence Box (Hardware)</w:t>
            </w:r>
          </w:p>
        </w:tc>
        <w:tc>
          <w:tcPr>
            <w:tcW w:type="dxa" w:w="6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Ruggedized IoT device (validated at IPA Convex) that deploys local anomaly detection on-site. Revenue: hardware margin + SaaS subscription.</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#4</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Digital Twin Layer</w:t>
            </w:r>
          </w:p>
        </w:tc>
        <w:tc>
          <w:tcPr>
            <w:tcW w:type="dxa" w:w="60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Use Excellence's ISO 14224 asset register as the twin skeleton. Live sensor data brings it to life. Xellena reasons on it.</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#5</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Carbon / ESG Accounting Module</w:t>
            </w:r>
          </w:p>
        </w:tc>
        <w:tc>
          <w:tcPr>
            <w:tcW w:type="dxa" w:w="6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Scope 1/2/3 tracking per asset, auto-generated from maintenance data. Mandatory for nickel smelters supplying EV battery chains by 2027.</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#6</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Inspector Pro Mobile App</w:t>
            </w:r>
          </w:p>
        </w:tc>
        <w:tc>
          <w:tcPr>
            <w:tcW w:type="dxa" w:w="60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Field inspection app: scan tag → see Excellence data → AI damage classification → sync back to RBI module.</w:t>
            </w:r>
          </w:p>
        </w:tc>
      </w:tr>
    </w:tbl>
    <w:p>
      <w:pPr>
        <w:spacing w:after="0" w:before="80"/>
        <w:jc w:val="left"/>
      </w:pPr>
      <w:r>
        <w:rPr>
          <w:rFonts w:ascii="Arial" w:cs="Arial" w:eastAsia="Arial" w:hAnsi="Arial"/>
          <w:b w:val="false"/>
          <w:bCs w:val="false"/>
          <w:color w:val="334155"/>
          <w:sz w:val="22"/>
          <w:szCs w:val="22"/>
        </w:rPr>
        <w:t xml:space="preserve"/>
      </w:r>
    </w:p>
    <w:p>
      <w:r>
        <w:br w:type="page"/>
      </w:r>
    </w:p>
    <w:p>
      <w:pPr>
        <w:pStyle w:val="Heading1"/>
        <w:shd w:fill="003478" w:val="clear"/>
        <w:spacing w:after="120" w:before="360"/>
        <w:ind w:left="200" w:right="200"/>
      </w:pPr>
      <w:r>
        <w:rPr>
          <w:rFonts w:ascii="Arial" w:cs="Arial" w:eastAsia="Arial" w:hAnsi="Arial"/>
          <w:b/>
          <w:bCs/>
          <w:color w:val="FFFFFF"/>
          <w:sz w:val="36"/>
          <w:szCs w:val="36"/>
        </w:rPr>
        <w:t xml:space="preserve">02  Indonesian Industrial Market Landscape</w:t>
      </w:r>
    </w:p>
    <w:p>
      <w:pPr>
        <w:spacing w:after="0" w:before="80"/>
        <w:jc w:val="left"/>
      </w:pPr>
      <w:r>
        <w:rPr>
          <w:rFonts w:ascii="Arial" w:cs="Arial" w:eastAsia="Arial" w:hAnsi="Arial"/>
          <w:b w:val="false"/>
          <w:bCs w:val="false"/>
          <w:color w:val="334155"/>
          <w:sz w:val="22"/>
          <w:szCs w:val="22"/>
        </w:rPr>
        <w:t xml:space="preserve"/>
      </w:r>
    </w:p>
    <w:p>
      <w:pPr>
        <w:spacing w:after="80" w:before="80"/>
        <w:jc w:val="left"/>
      </w:pPr>
      <w:r>
        <w:rPr>
          <w:rFonts w:ascii="Arial" w:cs="Arial" w:eastAsia="Arial" w:hAnsi="Arial"/>
          <w:b w:val="false"/>
          <w:bCs w:val="false"/>
          <w:color w:val="334155"/>
          <w:sz w:val="22"/>
          <w:szCs w:val="22"/>
        </w:rPr>
        <w:t xml:space="preserve">Indonesia is the world's 4th most populous nation and sits on extraordinary natural resource wealth. As of 2026, the country holds the world's largest nickel reserves (commanding 60%+ of global output), the 2nd largest geothermal potential globally, and remains a top-10 oil &amp; gas producer in Asia-Pacific. All of these industries share one critical characteristic from a software perspective: extreme asset intensity.</w:t>
      </w:r>
    </w:p>
    <w:p>
      <w:pPr>
        <w:pStyle w:val="Heading2"/>
        <w:pBdr>
          <w:bottom w:val="single" w:color="003478" w:sz="8" w:space="4"/>
        </w:pBdr>
        <w:spacing w:after="100" w:before="280"/>
      </w:pPr>
      <w:r>
        <w:rPr>
          <w:rFonts w:ascii="Arial" w:cs="Arial" w:eastAsia="Arial" w:hAnsi="Arial"/>
          <w:b/>
          <w:bCs/>
          <w:color w:val="003478"/>
          <w:sz w:val="28"/>
          <w:szCs w:val="28"/>
        </w:rPr>
        <w:t xml:space="preserve">2.1  Industry-by-Industry Breakdown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900"/>
        <w:gridCol w:w="1000"/>
        <w:gridCol w:w="2526"/>
        <w:gridCol w:w="1600"/>
      </w:tblGrid>
      <w:tr>
        <w:trPr>
          <w:tblHeader/>
        </w:trPr>
        <w:tc>
          <w:tcPr>
            <w:tcW w:type="dxa" w:w="1600"/>
            <w:tcBorders>
              <w:top w:val="single" w:color="003478" w:sz="1"/>
              <w:left w:val="single" w:color="003478" w:sz="1"/>
              <w:bottom w:val="single" w:color="003478" w:sz="1"/>
              <w:right w:val="single" w:color="003478" w:sz="1"/>
            </w:tcBorders>
            <w:shd w:fill="003478" w:val="clear"/>
            <w:tcMar>
              <w:top w:type="dxa" w:w="100"/>
              <w:left w:type="dxa" w:w="140"/>
              <w:bottom w:type="dxa" w:w="100"/>
              <w:right w:type="dxa" w:w="140"/>
            </w:tcMar>
          </w:tcPr>
          <w:p>
            <w:r>
              <w:rPr>
                <w:rFonts w:ascii="Arial" w:cs="Arial" w:eastAsia="Arial" w:hAnsi="Arial"/>
                <w:b/>
                <w:bCs/>
                <w:color w:val="FFFFFF"/>
                <w:sz w:val="20"/>
                <w:szCs w:val="20"/>
              </w:rPr>
              <w:t xml:space="preserve">Sector</w:t>
            </w:r>
          </w:p>
        </w:tc>
        <w:tc>
          <w:tcPr>
            <w:tcW w:type="dxa" w:w="1400"/>
            <w:tcBorders>
              <w:top w:val="single" w:color="003478" w:sz="1"/>
              <w:left w:val="single" w:color="003478" w:sz="1"/>
              <w:bottom w:val="single" w:color="003478" w:sz="1"/>
              <w:right w:val="single" w:color="003478" w:sz="1"/>
            </w:tcBorders>
            <w:shd w:fill="003478" w:val="clear"/>
            <w:tcMar>
              <w:top w:type="dxa" w:w="100"/>
              <w:left w:type="dxa" w:w="140"/>
              <w:bottom w:type="dxa" w:w="100"/>
              <w:right w:type="dxa" w:w="140"/>
            </w:tcMar>
          </w:tcPr>
          <w:p>
            <w:r>
              <w:rPr>
                <w:rFonts w:ascii="Arial" w:cs="Arial" w:eastAsia="Arial" w:hAnsi="Arial"/>
                <w:b/>
                <w:bCs/>
                <w:color w:val="FFFFFF"/>
                <w:sz w:val="20"/>
                <w:szCs w:val="20"/>
              </w:rPr>
              <w:t xml:space="preserve">Market Size</w:t>
            </w:r>
          </w:p>
        </w:tc>
        <w:tc>
          <w:tcPr>
            <w:tcW w:type="dxa" w:w="900"/>
            <w:tcBorders>
              <w:top w:val="single" w:color="003478" w:sz="1"/>
              <w:left w:val="single" w:color="003478" w:sz="1"/>
              <w:bottom w:val="single" w:color="003478" w:sz="1"/>
              <w:right w:val="single" w:color="003478" w:sz="1"/>
            </w:tcBorders>
            <w:shd w:fill="003478" w:val="clear"/>
            <w:tcMar>
              <w:top w:type="dxa" w:w="100"/>
              <w:left w:type="dxa" w:w="140"/>
              <w:bottom w:type="dxa" w:w="100"/>
              <w:right w:type="dxa" w:w="140"/>
            </w:tcMar>
          </w:tcPr>
          <w:p>
            <w:r>
              <w:rPr>
                <w:rFonts w:ascii="Arial" w:cs="Arial" w:eastAsia="Arial" w:hAnsi="Arial"/>
                <w:b/>
                <w:bCs/>
                <w:color w:val="FFFFFF"/>
                <w:sz w:val="20"/>
                <w:szCs w:val="20"/>
              </w:rPr>
              <w:t xml:space="preserve">Growth</w:t>
            </w:r>
          </w:p>
        </w:tc>
        <w:tc>
          <w:tcPr>
            <w:tcW w:type="dxa" w:w="1000"/>
            <w:tcBorders>
              <w:top w:val="single" w:color="003478" w:sz="1"/>
              <w:left w:val="single" w:color="003478" w:sz="1"/>
              <w:bottom w:val="single" w:color="003478" w:sz="1"/>
              <w:right w:val="single" w:color="003478" w:sz="1"/>
            </w:tcBorders>
            <w:shd w:fill="003478" w:val="clear"/>
            <w:tcMar>
              <w:top w:type="dxa" w:w="100"/>
              <w:left w:type="dxa" w:w="140"/>
              <w:bottom w:type="dxa" w:w="100"/>
              <w:right w:type="dxa" w:w="140"/>
            </w:tcMar>
          </w:tcPr>
          <w:p>
            <w:r>
              <w:rPr>
                <w:rFonts w:ascii="Arial" w:cs="Arial" w:eastAsia="Arial" w:hAnsi="Arial"/>
                <w:b/>
                <w:bCs/>
                <w:color w:val="FFFFFF"/>
                <w:sz w:val="20"/>
                <w:szCs w:val="20"/>
              </w:rPr>
              <w:t xml:space="preserve">Asset Intensity</w:t>
            </w:r>
          </w:p>
        </w:tc>
        <w:tc>
          <w:tcPr>
            <w:tcW w:type="dxa" w:w="2526"/>
            <w:tcBorders>
              <w:top w:val="single" w:color="003478" w:sz="1"/>
              <w:left w:val="single" w:color="003478" w:sz="1"/>
              <w:bottom w:val="single" w:color="003478" w:sz="1"/>
              <w:right w:val="single" w:color="003478" w:sz="1"/>
            </w:tcBorders>
            <w:shd w:fill="003478" w:val="clear"/>
            <w:tcMar>
              <w:top w:type="dxa" w:w="100"/>
              <w:left w:type="dxa" w:w="140"/>
              <w:bottom w:type="dxa" w:w="100"/>
              <w:right w:type="dxa" w:w="140"/>
            </w:tcMar>
          </w:tcPr>
          <w:p>
            <w:r>
              <w:rPr>
                <w:rFonts w:ascii="Arial" w:cs="Arial" w:eastAsia="Arial" w:hAnsi="Arial"/>
                <w:b/>
                <w:bCs/>
                <w:color w:val="FFFFFF"/>
                <w:sz w:val="20"/>
                <w:szCs w:val="20"/>
              </w:rPr>
              <w:t xml:space="preserve">Key Players</w:t>
            </w:r>
          </w:p>
        </w:tc>
        <w:tc>
          <w:tcPr>
            <w:tcW w:type="dxa" w:w="1600"/>
            <w:tcBorders>
              <w:top w:val="single" w:color="003478" w:sz="1"/>
              <w:left w:val="single" w:color="003478" w:sz="1"/>
              <w:bottom w:val="single" w:color="003478" w:sz="1"/>
              <w:right w:val="single" w:color="003478" w:sz="1"/>
            </w:tcBorders>
            <w:shd w:fill="003478" w:val="clear"/>
            <w:tcMar>
              <w:top w:type="dxa" w:w="100"/>
              <w:left w:type="dxa" w:w="140"/>
              <w:bottom w:type="dxa" w:w="100"/>
              <w:right w:type="dxa" w:w="140"/>
            </w:tcMar>
          </w:tcPr>
          <w:p>
            <w:r>
              <w:rPr>
                <w:rFonts w:ascii="Arial" w:cs="Arial" w:eastAsia="Arial" w:hAnsi="Arial"/>
                <w:b/>
                <w:bCs/>
                <w:color w:val="FFFFFF"/>
                <w:sz w:val="20"/>
                <w:szCs w:val="20"/>
              </w:rPr>
              <w:t xml:space="preserve">Excellence Fit</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Oil &amp; Gas (Upstream)</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$14.6B (2026)</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5.2% CAGR</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Very High</w:t>
            </w:r>
          </w:p>
        </w:tc>
        <w:tc>
          <w:tcPr>
            <w:tcW w:type="dxa" w:w="25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SKK Migas, Pertamina, INPEX, Medco, ConocoPhillips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 Core</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Oil &amp; Gas (Downstream)</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$7.6% CAGR subsegment</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7.6%</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Very High</w:t>
            </w:r>
          </w:p>
        </w:tc>
        <w:tc>
          <w:tcPr>
            <w:tcW w:type="dxa" w:w="25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Pertamina Refinery, RU IV-VII, petrochemical parks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 Core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Nickel / Mining</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$2.5B equipment market</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8.1% CAGR</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Very High</w:t>
            </w:r>
          </w:p>
        </w:tc>
        <w:tc>
          <w:tcPr>
            <w:tcW w:type="dxa" w:w="25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PT Vale, IMIP, Weda Bay, Harita, Freeport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 High</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Geothermal Energy</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$15B investment pipeline</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5.5% CAGR</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Very High</w:t>
            </w:r>
          </w:p>
        </w:tc>
        <w:tc>
          <w:tcPr>
            <w:tcW w:type="dxa" w:w="25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Pertamina Geothermal, Star Energy, PLN, GeoDipa</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 High</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Coal Power / Energy Transition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Transition wave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7%+</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High</w:t>
            </w:r>
          </w:p>
        </w:tc>
        <w:tc>
          <w:tcPr>
            <w:tcW w:type="dxa" w:w="25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PLN, IPP operators, industrial estates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 Medium</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Palm Oil / Agribusiness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$1.75B</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5.9% CAGR</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Medium</w:t>
            </w:r>
          </w:p>
        </w:tc>
        <w:tc>
          <w:tcPr>
            <w:tcW w:type="dxa" w:w="25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PTPN, Musim Mas, Wilmar, Salim Group</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 Adaptable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Manufacturing / Petrochem</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7.6% CAGR</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7.6%</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Very High</w:t>
            </w:r>
          </w:p>
        </w:tc>
        <w:tc>
          <w:tcPr>
            <w:tcW w:type="dxa" w:w="25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Chandra Asri, Lotte Chemical, new smelter parks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 High</w:t>
            </w:r>
          </w:p>
        </w:tc>
      </w:tr>
    </w:tbl>
    <w:p>
      <w:pPr>
        <w:spacing w:after="0" w:before="80"/>
        <w:jc w:val="left"/>
      </w:pPr>
      <w:r>
        <w:rPr>
          <w:rFonts w:ascii="Arial" w:cs="Arial" w:eastAsia="Arial" w:hAnsi="Arial"/>
          <w:b w:val="false"/>
          <w:bCs w:val="false"/>
          <w:color w:val="334155"/>
          <w:sz w:val="22"/>
          <w:szCs w:val="22"/>
        </w:rPr>
        <w:t xml:space="preserve"/>
      </w:r>
    </w:p>
    <w:p>
      <w:pPr>
        <w:pStyle w:val="Heading2"/>
        <w:pBdr>
          <w:bottom w:val="single" w:color="003478" w:sz="8" w:space="4"/>
        </w:pBdr>
        <w:spacing w:after="100" w:before="280"/>
      </w:pPr>
      <w:r>
        <w:rPr>
          <w:rFonts w:ascii="Arial" w:cs="Arial" w:eastAsia="Arial" w:hAnsi="Arial"/>
          <w:b/>
          <w:bCs/>
          <w:color w:val="003478"/>
          <w:sz w:val="28"/>
          <w:szCs w:val="28"/>
        </w:rPr>
        <w:t xml:space="preserve">2.2  Oil &amp; Gas — Deepdive</w:t>
      </w:r>
    </w:p>
    <w:p>
      <w:pPr>
        <w:spacing w:after="80" w:before="80"/>
        <w:jc w:val="left"/>
      </w:pPr>
      <w:r>
        <w:rPr>
          <w:rFonts w:ascii="Arial" w:cs="Arial" w:eastAsia="Arial" w:hAnsi="Arial"/>
          <w:b w:val="false"/>
          <w:bCs w:val="false"/>
          <w:color w:val="334155"/>
          <w:sz w:val="22"/>
          <w:szCs w:val="22"/>
        </w:rPr>
        <w:t xml:space="preserve">The Indonesian O&amp;G market is valued at USD 14.6 billion in 2026 and projected to grow at 5.18% CAGR through 2031 (Mordor Intelligence, 2026). Upstream dominates at 72.1% market share, supported by new field developments and enhanced recovery projects. Critically for CRI, maintenance and turnaround services are forecasted to expand at 6.05% CAGR — the fastest-growing segment within the sector.</w:t>
      </w:r>
    </w:p>
    <w:p>
      <w:pPr>
        <w:pStyle w:val="Heading3"/>
        <w:spacing w:after="80" w:before="200"/>
      </w:pPr>
      <w:r>
        <w:rPr>
          <w:rFonts w:ascii="Arial" w:cs="Arial" w:eastAsia="Arial" w:hAnsi="Arial"/>
          <w:b/>
          <w:bCs/>
          <w:color w:val="334155"/>
          <w:sz w:val="24"/>
          <w:szCs w:val="24"/>
        </w:rPr>
        <w:t xml:space="preserve">Why this is the perfect market for Excellence</w:t>
      </w:r>
    </w:p>
    <w:p>
      <w:pPr>
        <w:pStyle w:val="ListParagraph"/>
        <w:numPr>
          <w:ilvl w:val="0"/>
          <w:numId w:val="2"/>
        </w:numPr>
        <w:spacing w:after="40" w:before="40"/>
      </w:pPr>
      <w:r>
        <w:rPr>
          <w:rFonts w:ascii="Arial" w:cs="Arial" w:eastAsia="Arial" w:hAnsi="Arial"/>
          <w:color w:val="334155"/>
          <w:sz w:val="22"/>
          <w:szCs w:val="22"/>
        </w:rPr>
        <w:t xml:space="preserve">Regulatory density: SKK Migas requirements, ESDM safety standards, PSC terms — all demand traceable, auditable maintenance records</w:t>
      </w:r>
    </w:p>
    <w:p>
      <w:pPr>
        <w:pStyle w:val="ListParagraph"/>
        <w:numPr>
          <w:ilvl w:val="0"/>
          <w:numId w:val="2"/>
        </w:numPr>
        <w:spacing w:after="40" w:before="40"/>
      </w:pPr>
      <w:r>
        <w:rPr>
          <w:rFonts w:ascii="Arial" w:cs="Arial" w:eastAsia="Arial" w:hAnsi="Arial"/>
          <w:color w:val="334155"/>
          <w:sz w:val="22"/>
          <w:szCs w:val="22"/>
        </w:rPr>
        <w:t xml:space="preserve">Asset age: Indonesia's producing fields are maturing; Pertamina's average asset age exceeds 30 years in many blocks</w:t>
      </w:r>
    </w:p>
    <w:p>
      <w:pPr>
        <w:pStyle w:val="ListParagraph"/>
        <w:numPr>
          <w:ilvl w:val="0"/>
          <w:numId w:val="2"/>
        </w:numPr>
        <w:spacing w:after="40" w:before="40"/>
      </w:pPr>
      <w:r>
        <w:rPr>
          <w:rFonts w:ascii="Arial" w:cs="Arial" w:eastAsia="Arial" w:hAnsi="Arial"/>
          <w:color w:val="334155"/>
          <w:sz w:val="22"/>
          <w:szCs w:val="22"/>
        </w:rPr>
        <w:t xml:space="preserve">Turnaround frequency: Major facilities run TA every 3-5 years with budgets in the hundreds of billions IDR</w:t>
      </w:r>
    </w:p>
    <w:p>
      <w:pPr>
        <w:pStyle w:val="ListParagraph"/>
        <w:numPr>
          <w:ilvl w:val="0"/>
          <w:numId w:val="2"/>
        </w:numPr>
        <w:spacing w:after="40" w:before="40"/>
      </w:pPr>
      <w:r>
        <w:rPr>
          <w:rFonts w:ascii="Arial" w:cs="Arial" w:eastAsia="Arial" w:hAnsi="Arial"/>
          <w:color w:val="334155"/>
          <w:sz w:val="22"/>
          <w:szCs w:val="22"/>
        </w:rPr>
        <w:t xml:space="preserve">Workforce gap: Senior reliability engineers are retiring faster than they're being replaced — AI tooling becomes essential</w:t>
      </w:r>
    </w:p>
    <w:p>
      <w:pPr>
        <w:pStyle w:val="ListParagraph"/>
        <w:numPr>
          <w:ilvl w:val="0"/>
          <w:numId w:val="2"/>
        </w:numPr>
        <w:spacing w:after="40" w:before="40"/>
      </w:pPr>
      <w:r>
        <w:rPr>
          <w:rFonts w:ascii="Arial" w:cs="Arial" w:eastAsia="Arial" w:hAnsi="Arial"/>
          <w:color w:val="334155"/>
          <w:sz w:val="22"/>
          <w:szCs w:val="22"/>
        </w:rPr>
        <w:t xml:space="preserve">Offshore growth: Deep-water discoveries (Arafura Sea, Papua) push FPSO adoption — new asset types need reliability frameworks</w:t>
      </w:r>
    </w:p>
    <w:p>
      <w:pPr>
        <w:spacing w:after="0" w:before="80"/>
        <w:jc w:val="left"/>
      </w:pPr>
      <w:r>
        <w:rPr>
          <w:rFonts w:ascii="Arial" w:cs="Arial" w:eastAsia="Arial" w:hAnsi="Arial"/>
          <w:b w:val="false"/>
          <w:bCs w:val="false"/>
          <w:color w:val="334155"/>
          <w:sz w:val="22"/>
          <w:szCs w:val="22"/>
        </w:rPr>
        <w:t xml:space="preserve"/>
      </w:r>
    </w:p>
    <w:p>
      <w:pPr>
        <w:pStyle w:val="Heading2"/>
        <w:pBdr>
          <w:bottom w:val="single" w:color="003478" w:sz="8" w:space="4"/>
        </w:pBdr>
        <w:spacing w:after="100" w:before="280"/>
      </w:pPr>
      <w:r>
        <w:rPr>
          <w:rFonts w:ascii="Arial" w:cs="Arial" w:eastAsia="Arial" w:hAnsi="Arial"/>
          <w:b/>
          <w:bCs/>
          <w:color w:val="003478"/>
          <w:sz w:val="28"/>
          <w:szCs w:val="28"/>
        </w:rPr>
        <w:t xml:space="preserve">2.3  Nickel &amp; Mining — The ESG Pressure Point</w:t>
      </w:r>
    </w:p>
    <w:p>
      <w:pPr>
        <w:spacing w:after="80" w:before="80"/>
        <w:jc w:val="left"/>
      </w:pPr>
      <w:r>
        <w:rPr>
          <w:rFonts w:ascii="Arial" w:cs="Arial" w:eastAsia="Arial" w:hAnsi="Arial"/>
          <w:b w:val="false"/>
          <w:bCs w:val="false"/>
          <w:color w:val="334155"/>
          <w:sz w:val="22"/>
          <w:szCs w:val="22"/>
        </w:rPr>
        <w:t xml:space="preserve">Indonesia commands over 60% of global nickel output and is projected to more than double production to ~5 million MT by 2035 (S&amp;P Global, 2025). The mining equipment market alone is worth $2.5B growing at 8.1% annually.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single" w:color="92400E" w:sz="1"/>
              <w:left w:val="single" w:color="92400E" w:sz="1"/>
              <w:bottom w:val="single" w:color="92400E" w:sz="1"/>
              <w:right w:val="single" w:color="92400E" w:sz="1"/>
            </w:tcBorders>
            <w:shd w:fill="FEF3C7" w:val="clear"/>
            <w:tcMar>
              <w:top w:type="dxa" w:w="80"/>
              <w:left w:type="dxa" w:w="160"/>
              <w:bottom w:type="dxa" w:w="40"/>
              <w:right w:type="dxa" w:w="160"/>
            </w:tcMar>
          </w:tcPr>
          <w:p>
            <w:r>
              <w:rPr>
                <w:rFonts w:ascii="Arial" w:cs="Arial" w:eastAsia="Arial" w:hAnsi="Arial"/>
                <w:b/>
                <w:bCs/>
                <w:color w:val="92400E"/>
                <w:sz w:val="18"/>
                <w:szCs w:val="18"/>
              </w:rPr>
              <w:t xml:space="preserve">KEY INSIGHT — ESG ENTRY POINT</w:t>
            </w:r>
          </w:p>
        </w:tc>
      </w:tr>
      <w:tr>
        <w:tc>
          <w:tcPr>
            <w:tcBorders>
              <w:top w:val="single" w:color="92400E" w:sz="1"/>
              <w:left w:val="single" w:color="92400E" w:sz="1"/>
              <w:bottom w:val="single" w:color="92400E" w:sz="1"/>
              <w:right w:val="single" w:color="92400E" w:sz="1"/>
            </w:tcBorders>
            <w:shd w:fill="FEF3C7" w:val="clear"/>
            <w:tcMar>
              <w:top w:type="dxa" w:w="80"/>
              <w:left w:type="dxa" w:w="160"/>
              <w:bottom w:type="dxa" w:w="80"/>
              <w:right w:type="dxa" w:w="160"/>
            </w:tcMar>
          </w:tcPr>
          <w:p>
            <w:pPr>
              <w:spacing w:after="0" w:before="0"/>
            </w:pPr>
            <w:r>
              <w:rPr>
                <w:rFonts w:ascii="Arial" w:cs="Arial" w:eastAsia="Arial" w:hAnsi="Arial"/>
                <w:color w:val="334155"/>
                <w:sz w:val="21"/>
                <w:szCs w:val="21"/>
              </w:rPr>
              <w:t xml:space="preserve">The critical strategic angle: ferronickel smelters using coal power emit ~60 tCO2 per tonne of nickel. EU Battery Regulation and Japanese automaker supply chain requirements are starting to enforce carbon disclosure from Indonesian nickel suppliers. Every HPAL and NPI plant needs an ESG Carbon Module — and CRI can build it as an overlay on Excellence's existing asset register.</w:t>
            </w:r>
          </w:p>
        </w:tc>
      </w:tr>
    </w:tbl>
    <w:p>
      <w:pPr>
        <w:spacing w:after="0" w:before="80"/>
        <w:jc w:val="left"/>
      </w:pPr>
      <w:r>
        <w:rPr>
          <w:rFonts w:ascii="Arial" w:cs="Arial" w:eastAsia="Arial" w:hAnsi="Arial"/>
          <w:b w:val="false"/>
          <w:bCs w:val="false"/>
          <w:color w:val="334155"/>
          <w:sz w:val="22"/>
          <w:szCs w:val="22"/>
        </w:rPr>
        <w:t xml:space="preserve"/>
      </w:r>
    </w:p>
    <w:p>
      <w:pPr>
        <w:pStyle w:val="Heading2"/>
        <w:pBdr>
          <w:bottom w:val="single" w:color="003478" w:sz="8" w:space="4"/>
        </w:pBdr>
        <w:spacing w:after="100" w:before="280"/>
      </w:pPr>
      <w:r>
        <w:rPr>
          <w:rFonts w:ascii="Arial" w:cs="Arial" w:eastAsia="Arial" w:hAnsi="Arial"/>
          <w:b/>
          <w:bCs/>
          <w:color w:val="003478"/>
          <w:sz w:val="28"/>
          <w:szCs w:val="28"/>
        </w:rPr>
        <w:t xml:space="preserve">2.4  Geothermal — The Underserved Vertical</w:t>
      </w:r>
    </w:p>
    <w:p>
      <w:pPr>
        <w:spacing w:after="80" w:before="80"/>
        <w:jc w:val="left"/>
      </w:pPr>
      <w:r>
        <w:rPr>
          <w:rFonts w:ascii="Arial" w:cs="Arial" w:eastAsia="Arial" w:hAnsi="Arial"/>
          <w:b w:val="false"/>
          <w:bCs w:val="false"/>
          <w:color w:val="334155"/>
          <w:sz w:val="22"/>
          <w:szCs w:val="22"/>
        </w:rPr>
        <w:t xml:space="preserve">Indonesia possesses the world's 2nd largest geothermal potential (behind the USA) and is targeting 7.24 GW installed capacity requiring $15B in investment. Yet there is virtually no dedicated software for geothermal asset management in the Indonesian market.</w:t>
      </w:r>
    </w:p>
    <w:p>
      <w:pPr>
        <w:spacing w:after="80" w:before="80"/>
        <w:jc w:val="left"/>
      </w:pPr>
      <w:r>
        <w:rPr>
          <w:rFonts w:ascii="Arial" w:cs="Arial" w:eastAsia="Arial" w:hAnsi="Arial"/>
          <w:b w:val="false"/>
          <w:bCs w:val="false"/>
          <w:color w:val="334155"/>
          <w:sz w:val="22"/>
          <w:szCs w:val="22"/>
        </w:rPr>
        <w:t xml:space="preserve">Geothermal operations present unique asset management challenges that generic CMMS tools don't address: wellhead integrity tracking (casing, tubing, packer systems), brine chemistry and scaling prediction, H2S corrosion management, LP/HP steam turbine health, and regulatory compliance with ESDM/PLN standards. Excellence + a geothermal vertical module = a moat in an entirely uncontested market.</w:t>
      </w:r>
    </w:p>
    <w:p>
      <w:pPr>
        <w:pStyle w:val="Heading3"/>
        <w:spacing w:after="80" w:before="200"/>
      </w:pPr>
      <w:r>
        <w:rPr>
          <w:rFonts w:ascii="Arial" w:cs="Arial" w:eastAsia="Arial" w:hAnsi="Arial"/>
          <w:b/>
          <w:bCs/>
          <w:color w:val="334155"/>
          <w:sz w:val="24"/>
          <w:szCs w:val="24"/>
        </w:rPr>
        <w:t xml:space="preserve">Key players (potential clients)</w:t>
      </w:r>
    </w:p>
    <w:p>
      <w:pPr>
        <w:pStyle w:val="ListParagraph"/>
        <w:numPr>
          <w:ilvl w:val="0"/>
          <w:numId w:val="2"/>
        </w:numPr>
        <w:spacing w:after="40" w:before="40"/>
      </w:pPr>
      <w:r>
        <w:rPr>
          <w:rFonts w:ascii="Arial" w:cs="Arial" w:eastAsia="Arial" w:hAnsi="Arial"/>
          <w:color w:val="334155"/>
          <w:sz w:val="22"/>
          <w:szCs w:val="22"/>
        </w:rPr>
        <w:t xml:space="preserve">Pertamina Geothermal Energy (PGE) — publicly listed, ~1.9 GW installed</w:t>
      </w:r>
    </w:p>
    <w:p>
      <w:pPr>
        <w:pStyle w:val="ListParagraph"/>
        <w:numPr>
          <w:ilvl w:val="0"/>
          <w:numId w:val="2"/>
        </w:numPr>
        <w:spacing w:after="40" w:before="40"/>
      </w:pPr>
      <w:r>
        <w:rPr>
          <w:rFonts w:ascii="Arial" w:cs="Arial" w:eastAsia="Arial" w:hAnsi="Arial"/>
          <w:color w:val="334155"/>
          <w:sz w:val="22"/>
          <w:szCs w:val="22"/>
        </w:rPr>
        <w:t xml:space="preserve">Star Energy Geothermal — Salak &amp; Darajat fields (Chevron legacy assets)</w:t>
      </w:r>
    </w:p>
    <w:p>
      <w:pPr>
        <w:pStyle w:val="ListParagraph"/>
        <w:numPr>
          <w:ilvl w:val="0"/>
          <w:numId w:val="2"/>
        </w:numPr>
        <w:spacing w:after="40" w:before="40"/>
      </w:pPr>
      <w:r>
        <w:rPr>
          <w:rFonts w:ascii="Arial" w:cs="Arial" w:eastAsia="Arial" w:hAnsi="Arial"/>
          <w:color w:val="334155"/>
          <w:sz w:val="22"/>
          <w:szCs w:val="22"/>
        </w:rPr>
        <w:t xml:space="preserve">PLN — power generation mandate</w:t>
      </w:r>
    </w:p>
    <w:p>
      <w:pPr>
        <w:pStyle w:val="ListParagraph"/>
        <w:numPr>
          <w:ilvl w:val="0"/>
          <w:numId w:val="2"/>
        </w:numPr>
        <w:spacing w:after="40" w:before="40"/>
      </w:pPr>
      <w:r>
        <w:rPr>
          <w:rFonts w:ascii="Arial" w:cs="Arial" w:eastAsia="Arial" w:hAnsi="Arial"/>
          <w:color w:val="334155"/>
          <w:sz w:val="22"/>
          <w:szCs w:val="22"/>
        </w:rPr>
        <w:t xml:space="preserve">PT Geo Dipa Energi (GeoDipa) — already in Catalyst scraper pipeline</w:t>
      </w:r>
    </w:p>
    <w:p>
      <w:pPr>
        <w:pStyle w:val="ListParagraph"/>
        <w:numPr>
          <w:ilvl w:val="0"/>
          <w:numId w:val="2"/>
        </w:numPr>
        <w:spacing w:after="40" w:before="40"/>
      </w:pPr>
      <w:r>
        <w:rPr>
          <w:rFonts w:ascii="Arial" w:cs="Arial" w:eastAsia="Arial" w:hAnsi="Arial"/>
          <w:color w:val="334155"/>
          <w:sz w:val="22"/>
          <w:szCs w:val="22"/>
        </w:rPr>
        <w:t xml:space="preserve">Sorik Marapi Geothermal Power (KS ORKA)</w:t>
      </w:r>
    </w:p>
    <w:p>
      <w:pPr>
        <w:spacing w:after="0" w:before="80"/>
        <w:jc w:val="left"/>
      </w:pPr>
      <w:r>
        <w:rPr>
          <w:rFonts w:ascii="Arial" w:cs="Arial" w:eastAsia="Arial" w:hAnsi="Arial"/>
          <w:b w:val="false"/>
          <w:bCs w:val="false"/>
          <w:color w:val="334155"/>
          <w:sz w:val="22"/>
          <w:szCs w:val="22"/>
        </w:rPr>
        <w:t xml:space="preserve"/>
      </w:r>
    </w:p>
    <w:p>
      <w:r>
        <w:br w:type="page"/>
      </w:r>
    </w:p>
    <w:p>
      <w:pPr>
        <w:pStyle w:val="Heading1"/>
        <w:shd w:fill="003478" w:val="clear"/>
        <w:spacing w:after="120" w:before="360"/>
        <w:ind w:left="200" w:right="200"/>
      </w:pPr>
      <w:r>
        <w:rPr>
          <w:rFonts w:ascii="Arial" w:cs="Arial" w:eastAsia="Arial" w:hAnsi="Arial"/>
          <w:b/>
          <w:bCs/>
          <w:color w:val="FFFFFF"/>
          <w:sz w:val="36"/>
          <w:szCs w:val="36"/>
        </w:rPr>
        <w:t xml:space="preserve">03  Technology Trajectory — Where the World Is Heading</w:t>
      </w:r>
    </w:p>
    <w:p>
      <w:pPr>
        <w:spacing w:after="0" w:before="80"/>
        <w:jc w:val="left"/>
      </w:pPr>
      <w:r>
        <w:rPr>
          <w:rFonts w:ascii="Arial" w:cs="Arial" w:eastAsia="Arial" w:hAnsi="Arial"/>
          <w:b w:val="false"/>
          <w:bCs w:val="false"/>
          <w:color w:val="334155"/>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single" w:color="003478" w:sz="1"/>
              <w:left w:val="single" w:color="003478" w:sz="1"/>
              <w:bottom w:val="single" w:color="003478" w:sz="1"/>
              <w:right w:val="single" w:color="003478" w:sz="1"/>
            </w:tcBorders>
            <w:shd w:fill="F1F5F9" w:val="clear"/>
            <w:tcMar>
              <w:top w:type="dxa" w:w="80"/>
              <w:left w:type="dxa" w:w="160"/>
              <w:bottom w:type="dxa" w:w="40"/>
              <w:right w:type="dxa" w:w="160"/>
            </w:tcMar>
          </w:tcPr>
          <w:p>
            <w:r>
              <w:rPr>
                <w:rFonts w:ascii="Arial" w:cs="Arial" w:eastAsia="Arial" w:hAnsi="Arial"/>
                <w:b/>
                <w:bCs/>
                <w:color w:val="003478"/>
                <w:sz w:val="18"/>
                <w:szCs w:val="18"/>
              </w:rPr>
              <w:t xml:space="preserve">INDUSTRY VOICE</w:t>
            </w:r>
          </w:p>
        </w:tc>
      </w:tr>
      <w:tr>
        <w:tc>
          <w:tcPr>
            <w:tcBorders>
              <w:top w:val="single" w:color="003478" w:sz="1"/>
              <w:left w:val="single" w:color="003478" w:sz="1"/>
              <w:bottom w:val="single" w:color="003478" w:sz="1"/>
              <w:right w:val="single" w:color="003478" w:sz="1"/>
            </w:tcBorders>
            <w:shd w:fill="F1F5F9" w:val="clear"/>
            <w:tcMar>
              <w:top w:type="dxa" w:w="80"/>
              <w:left w:type="dxa" w:w="160"/>
              <w:bottom w:type="dxa" w:w="80"/>
              <w:right w:type="dxa" w:w="160"/>
            </w:tcMar>
          </w:tcPr>
          <w:p>
            <w:pPr>
              <w:spacing w:after="0" w:before="0"/>
            </w:pPr>
            <w:r>
              <w:rPr>
                <w:rFonts w:ascii="Arial" w:cs="Arial" w:eastAsia="Arial" w:hAnsi="Arial"/>
                <w:color w:val="334155"/>
                <w:sz w:val="21"/>
                <w:szCs w:val="21"/>
              </w:rPr>
              <w:t xml:space="preserve">"The plants that are winning on maintenance in 2026 are not the ones with the most sensors — they are the ones that have connected their sensor data to their maintenance workflows. Data without action is just cost." — Head of Asset Management, Integrated Steel Producer, Western Europe, 2025</w:t>
            </w:r>
          </w:p>
        </w:tc>
      </w:tr>
    </w:tbl>
    <w:p>
      <w:pPr>
        <w:spacing w:after="0" w:before="120"/>
        <w:jc w:val="left"/>
      </w:pPr>
      <w:r>
        <w:rPr>
          <w:rFonts w:ascii="Arial" w:cs="Arial" w:eastAsia="Arial" w:hAnsi="Arial"/>
          <w:b w:val="false"/>
          <w:bCs w:val="false"/>
          <w:color w:val="334155"/>
          <w:sz w:val="22"/>
          <w:szCs w:val="22"/>
        </w:rPr>
        <w:t xml:space="preserve"/>
      </w:r>
    </w:p>
    <w:p>
      <w:pPr>
        <w:pStyle w:val="Heading2"/>
        <w:pBdr>
          <w:bottom w:val="single" w:color="003478" w:sz="8" w:space="4"/>
        </w:pBdr>
        <w:spacing w:after="100" w:before="280"/>
      </w:pPr>
      <w:r>
        <w:rPr>
          <w:rFonts w:ascii="Arial" w:cs="Arial" w:eastAsia="Arial" w:hAnsi="Arial"/>
          <w:b/>
          <w:bCs/>
          <w:color w:val="003478"/>
          <w:sz w:val="28"/>
          <w:szCs w:val="28"/>
        </w:rPr>
        <w:t xml:space="preserve">3.1  The Six Technology Waves (2024–2028)</w:t>
      </w:r>
    </w:p>
    <w:p>
      <w:pPr>
        <w:spacing w:after="80" w:before="80"/>
        <w:jc w:val="left"/>
      </w:pPr>
      <w:r>
        <w:rPr>
          <w:rFonts w:ascii="Arial" w:cs="Arial" w:eastAsia="Arial" w:hAnsi="Arial"/>
          <w:b w:val="false"/>
          <w:bCs w:val="false"/>
          <w:color w:val="334155"/>
          <w:sz w:val="22"/>
          <w:szCs w:val="22"/>
        </w:rPr>
        <w:t xml:space="preserve">Based on industry research (IIoT World, ARC Forum 2026, Mordor Intelligence, arXiv systematic reviews), six technology shifts are simultaneously maturing and intersecting — creating a window for CRI to capture a unique position.</w:t>
      </w:r>
    </w:p>
    <w:p>
      <w:pPr>
        <w:pStyle w:val="Heading3"/>
        <w:spacing w:after="80" w:before="200"/>
      </w:pPr>
      <w:r>
        <w:rPr>
          <w:rFonts w:ascii="Arial" w:cs="Arial" w:eastAsia="Arial" w:hAnsi="Arial"/>
          <w:b/>
          <w:bCs/>
          <w:color w:val="334155"/>
          <w:sz w:val="24"/>
          <w:szCs w:val="24"/>
        </w:rPr>
        <w:t xml:space="preserve">Wave 1 — Cognitive Digital Twins (NOW)</w:t>
      </w:r>
    </w:p>
    <w:p>
      <w:pPr>
        <w:spacing w:after="80" w:before="80"/>
        <w:jc w:val="left"/>
      </w:pPr>
      <w:r>
        <w:rPr>
          <w:rFonts w:ascii="Arial" w:cs="Arial" w:eastAsia="Arial" w:hAnsi="Arial"/>
          <w:b w:val="false"/>
          <w:bCs w:val="false"/>
          <w:color w:val="334155"/>
          <w:sz w:val="22"/>
          <w:szCs w:val="22"/>
        </w:rPr>
        <w:t xml:space="preserve">By 2026, the industry has shifted from "mirror twins" (just showing real-time data) to "Cognitive Digital Twins" — versions that use ML to learn from historical patterns and understand context. A cognitive twin knows that a temperature spike is normal during summer operations but signals bearing failure in winter. It doesn't just mirror the asset; it understands the asset.</w:t>
      </w:r>
    </w:p>
    <w:p>
      <w:pPr>
        <w:spacing w:after="80" w:before="80"/>
        <w:jc w:val="left"/>
      </w:pPr>
      <w:r>
        <w:rPr>
          <w:rFonts w:ascii="Arial" w:cs="Arial" w:eastAsia="Arial" w:hAnsi="Arial"/>
          <w:b w:val="false"/>
          <w:bCs w:val="false"/>
          <w:color w:val="003478"/>
          <w:sz w:val="22"/>
          <w:szCs w:val="22"/>
        </w:rPr>
        <w:t xml:space="preserve">For CRI: Excellence's ISO 14224-structured asset register is already the perfect twin skeleton. Adding IoT sensor feeds and the Xellena reasoning layer creates a cognitive twin at a fraction of the cost of building from scratch.</w:t>
      </w:r>
    </w:p>
    <w:p>
      <w:pPr>
        <w:pStyle w:val="Heading3"/>
        <w:spacing w:after="80" w:before="200"/>
      </w:pPr>
      <w:r>
        <w:rPr>
          <w:rFonts w:ascii="Arial" w:cs="Arial" w:eastAsia="Arial" w:hAnsi="Arial"/>
          <w:b/>
          <w:bCs/>
          <w:color w:val="334155"/>
          <w:sz w:val="24"/>
          <w:szCs w:val="24"/>
        </w:rPr>
        <w:t xml:space="preserve">Wave 2 — Agentic AI (Emerging)</w:t>
      </w:r>
    </w:p>
    <w:p>
      <w:pPr>
        <w:spacing w:after="80" w:before="80"/>
        <w:jc w:val="left"/>
      </w:pPr>
      <w:r>
        <w:rPr>
          <w:rFonts w:ascii="Arial" w:cs="Arial" w:eastAsia="Arial" w:hAnsi="Arial"/>
          <w:b w:val="false"/>
          <w:bCs w:val="false"/>
          <w:color w:val="334155"/>
          <w:sz w:val="22"/>
          <w:szCs w:val="22"/>
        </w:rPr>
        <w:t xml:space="preserve">The transition from predictive maintenance (tells you what will fail) to prescriptive maintenance (tells you what to do) to agentic maintenance (does it for you) is the defining industrial AI shift of 2026-2028. AI agents that can autonomously generate work orders, schedule resources, and update maintenance strategies are moving from research to production.</w:t>
      </w:r>
    </w:p>
    <w:p>
      <w:pPr>
        <w:spacing w:after="80" w:before="80"/>
        <w:jc w:val="left"/>
      </w:pPr>
      <w:r>
        <w:rPr>
          <w:rFonts w:ascii="Arial" w:cs="Arial" w:eastAsia="Arial" w:hAnsi="Arial"/>
          <w:b w:val="false"/>
          <w:bCs w:val="false"/>
          <w:color w:val="003478"/>
          <w:sz w:val="22"/>
          <w:szCs w:val="22"/>
        </w:rPr>
        <w:t xml:space="preserve">For CRI: The Xellena concept document already maps this architecture across all 11 Excellence modules. The foundation is built. The question is execution sequence.</w:t>
      </w:r>
    </w:p>
    <w:p>
      <w:pPr>
        <w:pStyle w:val="Heading3"/>
        <w:spacing w:after="80" w:before="200"/>
      </w:pPr>
      <w:r>
        <w:rPr>
          <w:rFonts w:ascii="Arial" w:cs="Arial" w:eastAsia="Arial" w:hAnsi="Arial"/>
          <w:b/>
          <w:bCs/>
          <w:color w:val="334155"/>
          <w:sz w:val="24"/>
          <w:szCs w:val="24"/>
        </w:rPr>
        <w:t xml:space="preserve">Wave 3 — Edge AI (Accelerating)</w:t>
      </w:r>
    </w:p>
    <w:p>
      <w:pPr>
        <w:spacing w:after="80" w:before="80"/>
        <w:jc w:val="left"/>
      </w:pPr>
      <w:r>
        <w:rPr>
          <w:rFonts w:ascii="Arial" w:cs="Arial" w:eastAsia="Arial" w:hAnsi="Arial"/>
          <w:b w:val="false"/>
          <w:bCs w:val="false"/>
          <w:color w:val="334155"/>
          <w:sz w:val="22"/>
          <w:szCs w:val="22"/>
        </w:rPr>
        <w:t xml:space="preserve">Machine learning models are moving from cloud servers to edge hardware installed directly in the plant — processing vibration, temperature, and pressure data in under 10 milliseconds without a round trip to a data center. For plants with intermittent connectivity (common in eastern Indonesia, offshore platforms, remote mining sites), edge AI delivers continuous prediction.</w:t>
      </w:r>
    </w:p>
    <w:p>
      <w:pPr>
        <w:pStyle w:val="Heading3"/>
        <w:spacing w:after="80" w:before="200"/>
      </w:pPr>
      <w:r>
        <w:rPr>
          <w:rFonts w:ascii="Arial" w:cs="Arial" w:eastAsia="Arial" w:hAnsi="Arial"/>
          <w:b/>
          <w:bCs/>
          <w:color w:val="334155"/>
          <w:sz w:val="24"/>
          <w:szCs w:val="24"/>
        </w:rPr>
        <w:t xml:space="preserve">Wave 4 — Physics-Based AI (Emerging)</w:t>
      </w:r>
    </w:p>
    <w:p>
      <w:pPr>
        <w:spacing w:after="80" w:before="80"/>
        <w:jc w:val="left"/>
      </w:pPr>
      <w:r>
        <w:rPr>
          <w:rFonts w:ascii="Arial" w:cs="Arial" w:eastAsia="Arial" w:hAnsi="Arial"/>
          <w:b w:val="false"/>
          <w:bCs w:val="false"/>
          <w:color w:val="334155"/>
          <w:sz w:val="22"/>
          <w:szCs w:val="22"/>
        </w:rPr>
        <w:t xml:space="preserve">Pure ML struggles with industrial data because failure events are rare — there isn't enough training data. Physics-based AI (combining first-principles engineering models with ML) solves this by simulating degradation rather than just learning from historical failures. Akselos demonstrates this can defer replacements by one or more turnaround cycles, saving tens of millions USD per facility.</w:t>
      </w:r>
    </w:p>
    <w:p>
      <w:pPr>
        <w:pStyle w:val="Heading3"/>
        <w:spacing w:after="80" w:before="200"/>
      </w:pPr>
      <w:r>
        <w:rPr>
          <w:rFonts w:ascii="Arial" w:cs="Arial" w:eastAsia="Arial" w:hAnsi="Arial"/>
          <w:b/>
          <w:bCs/>
          <w:color w:val="334155"/>
          <w:sz w:val="24"/>
          <w:szCs w:val="24"/>
        </w:rPr>
        <w:t xml:space="preserve">Wave 5 — IIoT–CMMS Closed Loop (Now Standard)</w:t>
      </w:r>
    </w:p>
    <w:p>
      <w:pPr>
        <w:spacing w:after="80" w:before="80"/>
        <w:jc w:val="left"/>
      </w:pPr>
      <w:r>
        <w:rPr>
          <w:rFonts w:ascii="Arial" w:cs="Arial" w:eastAsia="Arial" w:hAnsi="Arial"/>
          <w:b w:val="false"/>
          <w:bCs w:val="false"/>
          <w:color w:val="334155"/>
          <w:sz w:val="22"/>
          <w:szCs w:val="22"/>
        </w:rPr>
        <w:t xml:space="preserve">The IIoT market is projected to reach $3.3 trillion by 2030 (from $544B in 2022). The current frontier is not more sensors — it is end-to-end integration: sensor alert → CMMS work order → field execution → history record → model update. This loop is what separates top-quartile operators from everyone else.</w:t>
      </w:r>
    </w:p>
    <w:p>
      <w:pPr>
        <w:pStyle w:val="Heading3"/>
        <w:spacing w:after="80" w:before="200"/>
      </w:pPr>
      <w:r>
        <w:rPr>
          <w:rFonts w:ascii="Arial" w:cs="Arial" w:eastAsia="Arial" w:hAnsi="Arial"/>
          <w:b/>
          <w:bCs/>
          <w:color w:val="334155"/>
          <w:sz w:val="24"/>
          <w:szCs w:val="24"/>
        </w:rPr>
        <w:t xml:space="preserve">Wave 6 — Autonomous Inspection (2027+)</w:t>
      </w:r>
    </w:p>
    <w:p>
      <w:pPr>
        <w:spacing w:after="80" w:before="80"/>
        <w:jc w:val="left"/>
      </w:pPr>
      <w:r>
        <w:rPr>
          <w:rFonts w:ascii="Arial" w:cs="Arial" w:eastAsia="Arial" w:hAnsi="Arial"/>
          <w:b w:val="false"/>
          <w:bCs w:val="false"/>
          <w:color w:val="334155"/>
          <w:sz w:val="22"/>
          <w:szCs w:val="22"/>
        </w:rPr>
        <w:t xml:space="preserve">Robotic and drone-based inspection, with AI-driven defect classification, is moving from pilot to production in offshore O&amp;G and large refineries. The workflow: reliability system generates inspection plan → drone executes autonomously → computer vision classifies defects → results feed back into RBI assessment automatically.</w:t>
      </w:r>
    </w:p>
    <w:p>
      <w:pPr>
        <w:spacing w:after="0" w:before="80"/>
        <w:jc w:val="left"/>
      </w:pPr>
      <w:r>
        <w:rPr>
          <w:rFonts w:ascii="Arial" w:cs="Arial" w:eastAsia="Arial" w:hAnsi="Arial"/>
          <w:b w:val="false"/>
          <w:bCs w:val="false"/>
          <w:color w:val="334155"/>
          <w:sz w:val="22"/>
          <w:szCs w:val="22"/>
        </w:rPr>
        <w:t xml:space="preserve"/>
      </w:r>
    </w:p>
    <w:p>
      <w:pPr>
        <w:pStyle w:val="Heading2"/>
        <w:pBdr>
          <w:bottom w:val="single" w:color="003478" w:sz="8" w:space="4"/>
        </w:pBdr>
        <w:spacing w:after="100" w:before="280"/>
      </w:pPr>
      <w:r>
        <w:rPr>
          <w:rFonts w:ascii="Arial" w:cs="Arial" w:eastAsia="Arial" w:hAnsi="Arial"/>
          <w:b/>
          <w:bCs/>
          <w:color w:val="003478"/>
          <w:sz w:val="28"/>
          <w:szCs w:val="28"/>
        </w:rPr>
        <w:t xml:space="preserve">3.2  Where CRI Can Win vs. Where It Cannot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rPr>
          <w:tblHeader/>
        </w:trPr>
        <w:tc>
          <w:tcPr>
            <w:tcW w:type="dxa" w:w="3500"/>
            <w:tcBorders>
              <w:top w:val="single" w:color="003478" w:sz="1"/>
              <w:left w:val="single" w:color="003478" w:sz="1"/>
              <w:bottom w:val="single" w:color="003478" w:sz="1"/>
              <w:right w:val="single" w:color="003478" w:sz="1"/>
            </w:tcBorders>
            <w:shd w:fill="003478"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2763"/>
            <w:tcBorders>
              <w:top w:val="single" w:color="003478" w:sz="1"/>
              <w:left w:val="single" w:color="003478" w:sz="1"/>
              <w:bottom w:val="single" w:color="003478" w:sz="1"/>
              <w:right w:val="single" w:color="003478" w:sz="1"/>
            </w:tcBorders>
            <w:shd w:fill="003478" w:val="clear"/>
            <w:tcMar>
              <w:top w:type="dxa" w:w="100"/>
              <w:left w:type="dxa" w:w="140"/>
              <w:bottom w:type="dxa" w:w="100"/>
              <w:right w:type="dxa" w:w="140"/>
            </w:tcMar>
          </w:tcPr>
          <w:p>
            <w:r>
              <w:rPr>
                <w:rFonts w:ascii="Arial" w:cs="Arial" w:eastAsia="Arial" w:hAnsi="Arial"/>
                <w:b/>
                <w:bCs/>
                <w:color w:val="FFFFFF"/>
                <w:sz w:val="20"/>
                <w:szCs w:val="20"/>
              </w:rPr>
              <w:t xml:space="preserve">Enterprise Giants (ABB, Emerson, Honeywell)</w:t>
            </w:r>
          </w:p>
        </w:tc>
        <w:tc>
          <w:tcPr>
            <w:tcW w:type="dxa" w:w="2763"/>
            <w:tcBorders>
              <w:top w:val="single" w:color="003478" w:sz="1"/>
              <w:left w:val="single" w:color="003478" w:sz="1"/>
              <w:bottom w:val="single" w:color="003478" w:sz="1"/>
              <w:right w:val="single" w:color="003478" w:sz="1"/>
            </w:tcBorders>
            <w:shd w:fill="003478" w:val="clear"/>
            <w:tcMar>
              <w:top w:type="dxa" w:w="100"/>
              <w:left w:type="dxa" w:w="140"/>
              <w:bottom w:type="dxa" w:w="100"/>
              <w:right w:type="dxa" w:w="140"/>
            </w:tcMar>
          </w:tcPr>
          <w:p>
            <w:r>
              <w:rPr>
                <w:rFonts w:ascii="Arial" w:cs="Arial" w:eastAsia="Arial" w:hAnsi="Arial"/>
                <w:b/>
                <w:bCs/>
                <w:color w:val="FFFFFF"/>
                <w:sz w:val="20"/>
                <w:szCs w:val="20"/>
              </w:rPr>
              <w:t xml:space="preserve">CRI Advantage</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Implementation speed</w:t>
            </w:r>
          </w:p>
        </w:tc>
        <w:tc>
          <w:tcPr>
            <w:tcW w:type="dxa" w:w="276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6–18 months</w:t>
            </w:r>
          </w:p>
        </w:tc>
        <w:tc>
          <w:tcPr>
            <w:tcW w:type="dxa" w:w="276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4–8 weeks (agile, local)</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Local regulatory knowledge</w:t>
            </w:r>
          </w:p>
        </w:tc>
        <w:tc>
          <w:tcPr>
            <w:tcW w:type="dxa" w:w="276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Generic global</w:t>
            </w:r>
          </w:p>
        </w:tc>
        <w:tc>
          <w:tcPr>
            <w:tcW w:type="dxa" w:w="276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SKK Migas / ESDM native</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Price point</w:t>
            </w:r>
          </w:p>
        </w:tc>
        <w:tc>
          <w:tcPr>
            <w:tcW w:type="dxa" w:w="276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$500K–$5M+</w:t>
            </w:r>
          </w:p>
        </w:tc>
        <w:tc>
          <w:tcPr>
            <w:tcW w:type="dxa" w:w="276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Accessible for mid-market</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Customization</w:t>
            </w:r>
          </w:p>
        </w:tc>
        <w:tc>
          <w:tcPr>
            <w:tcW w:type="dxa" w:w="276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Rigid, expensive</w:t>
            </w:r>
          </w:p>
        </w:tc>
        <w:tc>
          <w:tcPr>
            <w:tcW w:type="dxa" w:w="276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Core strength</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Language &amp; support</w:t>
            </w:r>
          </w:p>
        </w:tc>
        <w:tc>
          <w:tcPr>
            <w:tcW w:type="dxa" w:w="276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English, offshore support</w:t>
            </w:r>
          </w:p>
        </w:tc>
        <w:tc>
          <w:tcPr>
            <w:tcW w:type="dxa" w:w="276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Bahasa Indonesia, on-site</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AI/agentic features</w:t>
            </w:r>
          </w:p>
        </w:tc>
        <w:tc>
          <w:tcPr>
            <w:tcW w:type="dxa" w:w="276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Coming (expensive)</w:t>
            </w:r>
          </w:p>
        </w:tc>
        <w:tc>
          <w:tcPr>
            <w:tcW w:type="dxa" w:w="276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Building now (Xellena)</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Hardware integration</w:t>
            </w:r>
          </w:p>
        </w:tc>
        <w:tc>
          <w:tcPr>
            <w:tcW w:type="dxa" w:w="276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Proprietary ecosystem</w:t>
            </w:r>
          </w:p>
        </w:tc>
        <w:tc>
          <w:tcPr>
            <w:tcW w:type="dxa" w:w="276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Open stack (MQTT, OPC-UA)</w:t>
            </w:r>
          </w:p>
        </w:tc>
      </w:tr>
    </w:tbl>
    <w:p>
      <w:pPr>
        <w:spacing w:after="0" w:before="80"/>
        <w:jc w:val="left"/>
      </w:pPr>
      <w:r>
        <w:rPr>
          <w:rFonts w:ascii="Arial" w:cs="Arial" w:eastAsia="Arial" w:hAnsi="Arial"/>
          <w:b w:val="false"/>
          <w:bCs w:val="false"/>
          <w:color w:val="334155"/>
          <w:sz w:val="22"/>
          <w:szCs w:val="22"/>
        </w:rPr>
        <w:t xml:space="preserve"/>
      </w:r>
    </w:p>
    <w:p>
      <w:r>
        <w:br w:type="page"/>
      </w:r>
    </w:p>
    <w:p>
      <w:pPr>
        <w:pStyle w:val="Heading1"/>
        <w:shd w:fill="003478" w:val="clear"/>
        <w:spacing w:after="120" w:before="360"/>
        <w:ind w:left="200" w:right="200"/>
      </w:pPr>
      <w:r>
        <w:rPr>
          <w:rFonts w:ascii="Arial" w:cs="Arial" w:eastAsia="Arial" w:hAnsi="Arial"/>
          <w:b/>
          <w:bCs/>
          <w:color w:val="FFFFFF"/>
          <w:sz w:val="36"/>
          <w:szCs w:val="36"/>
        </w:rPr>
        <w:t xml:space="preserve">04  The Product Universe — 12 Ideas in Detail</w:t>
      </w:r>
    </w:p>
    <w:p>
      <w:pPr>
        <w:spacing w:after="0" w:before="80"/>
        <w:jc w:val="left"/>
      </w:pPr>
      <w:r>
        <w:rPr>
          <w:rFonts w:ascii="Arial" w:cs="Arial" w:eastAsia="Arial" w:hAnsi="Arial"/>
          <w:b w:val="false"/>
          <w:bCs w:val="false"/>
          <w:color w:val="334155"/>
          <w:sz w:val="22"/>
          <w:szCs w:val="22"/>
        </w:rPr>
        <w:t xml:space="preserve"/>
      </w:r>
    </w:p>
    <w:p>
      <w:pPr>
        <w:spacing w:after="80" w:before="80"/>
        <w:jc w:val="left"/>
      </w:pPr>
      <w:r>
        <w:rPr>
          <w:rFonts w:ascii="Arial" w:cs="Arial" w:eastAsia="Arial" w:hAnsi="Arial"/>
          <w:b w:val="false"/>
          <w:bCs w:val="false"/>
          <w:color w:val="334155"/>
          <w:sz w:val="22"/>
          <w:szCs w:val="22"/>
        </w:rPr>
        <w:t xml:space="preserve">The following 12 product concepts are organized into four tiers based on development proximity to Excellence and effort required. Each concept includes a strategic rationale, technical approach, target market, and revenue model.</w:t>
      </w:r>
    </w:p>
    <w:p>
      <w:pPr>
        <w:pStyle w:val="Heading2"/>
        <w:pBdr>
          <w:bottom w:val="single" w:color="003478" w:sz="8" w:space="4"/>
        </w:pBdr>
        <w:spacing w:after="100" w:before="280"/>
      </w:pPr>
      <w:r>
        <w:rPr>
          <w:rFonts w:ascii="Arial" w:cs="Arial" w:eastAsia="Arial" w:hAnsi="Arial"/>
          <w:b/>
          <w:bCs/>
          <w:color w:val="003478"/>
          <w:sz w:val="28"/>
          <w:szCs w:val="28"/>
        </w:rPr>
        <w:t xml:space="preserve">TIER 1 — Extend Excellence Directly (Fastest Time-to-Market)</w:t>
      </w:r>
    </w:p>
    <w:p>
      <w:pPr>
        <w:spacing w:after="120" w:before="80"/>
        <w:jc w:val="left"/>
      </w:pPr>
      <w:r>
        <w:rPr>
          <w:rFonts w:ascii="Arial" w:cs="Arial" w:eastAsia="Arial" w:hAnsi="Arial"/>
          <w:b w:val="false"/>
          <w:bCs w:val="false"/>
          <w:color w:val="64748B"/>
          <w:sz w:val="22"/>
          <w:szCs w:val="22"/>
        </w:rPr>
        <w:t xml:space="preserve">These are enhancements to the existing Excellence platform. Lowest development risk, direct upsell to existing clients.</w:t>
      </w:r>
    </w:p>
    <w:p>
      <w:pPr>
        <w:pStyle w:val="Heading3"/>
        <w:spacing w:after="80" w:before="200"/>
      </w:pPr>
      <w:r>
        <w:rPr>
          <w:rFonts w:ascii="Arial" w:cs="Arial" w:eastAsia="Arial" w:hAnsi="Arial"/>
          <w:b/>
          <w:bCs/>
          <w:color w:val="003478"/>
          <w:sz w:val="24"/>
          <w:szCs w:val="24"/>
        </w:rPr>
        <w:t xml:space="preserve">1.1  Xellena — Agentic Maintenance Brain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single" w:color="003478" w:sz="1"/>
              <w:left w:val="single" w:color="003478" w:sz="1"/>
              <w:bottom w:val="single" w:color="003478" w:sz="1"/>
              <w:right w:val="single" w:color="003478" w:sz="1"/>
            </w:tcBorders>
            <w:shd w:fill="DBEAFE" w:val="clear"/>
            <w:tcMar>
              <w:top w:type="dxa" w:w="80"/>
              <w:left w:type="dxa" w:w="160"/>
              <w:bottom w:type="dxa" w:w="80"/>
              <w:right w:type="dxa" w:w="160"/>
            </w:tcMar>
          </w:tcPr>
          <w:p>
            <w:pPr>
              <w:spacing w:after="0" w:before="0"/>
            </w:pPr>
            <w:r>
              <w:rPr>
                <w:rFonts w:ascii="Arial" w:cs="Arial" w:eastAsia="Arial" w:hAnsi="Arial"/>
                <w:color w:val="334155"/>
                <w:sz w:val="21"/>
                <w:szCs w:val="21"/>
              </w:rPr>
              <w:t xml:space="preserve">From advisory to autonomous. The single most defensible moat CRI can build.</w:t>
            </w:r>
          </w:p>
        </w:tc>
      </w:tr>
    </w:tbl>
    <w:p>
      <w:pPr>
        <w:spacing w:after="0" w:before="60"/>
        <w:jc w:val="left"/>
      </w:pPr>
      <w:r>
        <w:rPr>
          <w:rFonts w:ascii="Arial" w:cs="Arial" w:eastAsia="Arial" w:hAnsi="Arial"/>
          <w:b w:val="false"/>
          <w:bCs w:val="false"/>
          <w:color w:val="334155"/>
          <w:sz w:val="22"/>
          <w:szCs w:val="22"/>
        </w:rPr>
        <w:t xml:space="preserve"/>
      </w:r>
    </w:p>
    <w:p>
      <w:pPr>
        <w:spacing w:after="80" w:before="80"/>
        <w:jc w:val="left"/>
      </w:pPr>
      <w:r>
        <w:rPr>
          <w:rFonts w:ascii="Arial" w:cs="Arial" w:eastAsia="Arial" w:hAnsi="Arial"/>
          <w:b w:val="false"/>
          <w:bCs w:val="false"/>
          <w:color w:val="334155"/>
          <w:sz w:val="22"/>
          <w:szCs w:val="22"/>
        </w:rPr>
        <w:t xml:space="preserve">The current Excellence platform provides analysis and recommendations — engineers must interpret results and take action manually. Xellena's evolution to full agency means the system detects anomalies, reasons about failure modes (pulling from the FMEA/RCM knowledge base), generates a draft work order with parts and resources, schedules it against ITPM load, and creates a feedback loop back to BAM when complete.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64748B"/>
                <w:sz w:val="20"/>
                <w:szCs w:val="20"/>
              </w:rPr>
              <w:t xml:space="preserve">Target users</w:t>
            </w:r>
          </w:p>
        </w:tc>
        <w:tc>
          <w:tcPr>
            <w:tcW w:type="dxa" w:w="6826"/>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4155"/>
                <w:sz w:val="22"/>
                <w:szCs w:val="22"/>
              </w:rPr>
              <w:t xml:space="preserve">Reliability engineers, maintenance planners, plant managers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64748B"/>
                <w:sz w:val="20"/>
                <w:szCs w:val="20"/>
              </w:rPr>
              <w:t xml:space="preserve">Industries</w:t>
            </w:r>
          </w:p>
        </w:tc>
        <w:tc>
          <w:tcPr>
            <w:tcW w:type="dxa" w:w="6826"/>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4155"/>
                <w:sz w:val="22"/>
                <w:szCs w:val="22"/>
              </w:rPr>
              <w:t xml:space="preserve">O&amp;G, geothermal, mining, power plants — all existing Excellence verticals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64748B"/>
                <w:sz w:val="20"/>
                <w:szCs w:val="20"/>
              </w:rPr>
              <w:t xml:space="preserve">Tech stack</w:t>
            </w:r>
          </w:p>
        </w:tc>
        <w:tc>
          <w:tcPr>
            <w:tcW w:type="dxa" w:w="6826"/>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4155"/>
                <w:sz w:val="22"/>
                <w:szCs w:val="22"/>
              </w:rPr>
              <w:t xml:space="preserve">Claude API (Haiku/Sonnet), RAG over Excellence data, tool-calling for WO generation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64748B"/>
                <w:sz w:val="20"/>
                <w:szCs w:val="20"/>
              </w:rPr>
              <w:t xml:space="preserve">Revenue model</w:t>
            </w:r>
          </w:p>
        </w:tc>
        <w:tc>
          <w:tcPr>
            <w:tcW w:type="dxa" w:w="6826"/>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4155"/>
                <w:sz w:val="22"/>
                <w:szCs w:val="22"/>
              </w:rPr>
              <w:t xml:space="preserve">Module add-on to existing Excellence license — per-seat or per-asset-count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64748B"/>
                <w:sz w:val="20"/>
                <w:szCs w:val="20"/>
              </w:rPr>
              <w:t xml:space="preserve">Development effort</w:t>
            </w:r>
          </w:p>
        </w:tc>
        <w:tc>
          <w:tcPr>
            <w:tcW w:type="dxa" w:w="6826"/>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4155"/>
                <w:sz w:val="22"/>
                <w:szCs w:val="22"/>
              </w:rPr>
              <w:t xml:space="preserve">Medium — foundation already in ai_proposal_agent.py pattern from Catalyst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64748B"/>
                <w:sz w:val="20"/>
                <w:szCs w:val="20"/>
              </w:rPr>
              <w:t xml:space="preserve">Differentiator</w:t>
            </w:r>
          </w:p>
        </w:tc>
        <w:tc>
          <w:tcPr>
            <w:tcW w:type="dxa" w:w="6826"/>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4155"/>
                <w:sz w:val="22"/>
                <w:szCs w:val="22"/>
              </w:rPr>
              <w:t xml:space="preserve">"Explainability" — every AI decision traces to a specific standard (ISO 14224, API 580, etc.)</w:t>
            </w:r>
          </w:p>
        </w:tc>
      </w:tr>
    </w:tbl>
    <w:p>
      <w:pPr>
        <w:spacing w:after="0" w:before="120"/>
        <w:jc w:val="left"/>
      </w:pPr>
      <w:r>
        <w:rPr>
          <w:rFonts w:ascii="Arial" w:cs="Arial" w:eastAsia="Arial" w:hAnsi="Arial"/>
          <w:b w:val="false"/>
          <w:bCs w:val="false"/>
          <w:color w:val="334155"/>
          <w:sz w:val="22"/>
          <w:szCs w:val="22"/>
        </w:rPr>
        <w:t xml:space="preserve"/>
      </w:r>
    </w:p>
    <w:p>
      <w:pPr>
        <w:pStyle w:val="Heading3"/>
        <w:spacing w:after="80" w:before="200"/>
      </w:pPr>
      <w:r>
        <w:rPr>
          <w:rFonts w:ascii="Arial" w:cs="Arial" w:eastAsia="Arial" w:hAnsi="Arial"/>
          <w:b/>
          <w:bCs/>
          <w:color w:val="003478"/>
          <w:sz w:val="24"/>
          <w:szCs w:val="24"/>
        </w:rPr>
        <w:t xml:space="preserve">1.2  Turnaround (TA) Management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single" w:color="92400E" w:sz="1"/>
              <w:left w:val="single" w:color="92400E" w:sz="1"/>
              <w:bottom w:val="single" w:color="92400E" w:sz="1"/>
              <w:right w:val="single" w:color="92400E" w:sz="1"/>
            </w:tcBorders>
            <w:shd w:fill="FEF3C7" w:val="clear"/>
            <w:tcMar>
              <w:top w:type="dxa" w:w="80"/>
              <w:left w:type="dxa" w:w="160"/>
              <w:bottom w:type="dxa" w:w="80"/>
              <w:right w:type="dxa" w:w="160"/>
            </w:tcMar>
          </w:tcPr>
          <w:p>
            <w:pPr>
              <w:spacing w:after="0" w:before="0"/>
            </w:pPr>
            <w:r>
              <w:rPr>
                <w:rFonts w:ascii="Arial" w:cs="Arial" w:eastAsia="Arial" w:hAnsi="Arial"/>
                <w:color w:val="334155"/>
                <w:sz w:val="21"/>
                <w:szCs w:val="21"/>
              </w:rPr>
              <w:t xml:space="preserve">Every TA at an O&amp;G facility is worth hundreds of billions IDR in scope. None of them are managed in purpose-built software.</w:t>
            </w:r>
          </w:p>
        </w:tc>
      </w:tr>
    </w:tbl>
    <w:p>
      <w:pPr>
        <w:spacing w:after="0" w:before="60"/>
        <w:jc w:val="left"/>
      </w:pPr>
      <w:r>
        <w:rPr>
          <w:rFonts w:ascii="Arial" w:cs="Arial" w:eastAsia="Arial" w:hAnsi="Arial"/>
          <w:b w:val="false"/>
          <w:bCs w:val="false"/>
          <w:color w:val="334155"/>
          <w:sz w:val="22"/>
          <w:szCs w:val="22"/>
        </w:rPr>
        <w:t xml:space="preserve"/>
      </w:r>
    </w:p>
    <w:p>
      <w:pPr>
        <w:spacing w:after="80" w:before="80"/>
        <w:jc w:val="left"/>
      </w:pPr>
      <w:r>
        <w:rPr>
          <w:rFonts w:ascii="Arial" w:cs="Arial" w:eastAsia="Arial" w:hAnsi="Arial"/>
          <w:b w:val="false"/>
          <w:bCs w:val="false"/>
          <w:color w:val="334155"/>
          <w:sz w:val="22"/>
          <w:szCs w:val="22"/>
        </w:rPr>
        <w:t xml:space="preserve">Turnaround management is one of the most complex, high-stakes operational events in the O&amp;G industry. A typical TA for a processing facility involves thousands of work packages, hundreds of contractors, critical path schedules, real-time scope changes, punch lists, and post-TA performance measurement. Currently, 90%+ of Indonesian O&amp;G facilities manage this in Microsoft Excel and Project — with all the version control, visibility, and audit trail problems that entails.</w:t>
      </w:r>
    </w:p>
    <w:p>
      <w:pPr>
        <w:spacing w:after="80" w:before="80"/>
        <w:jc w:val="left"/>
      </w:pPr>
      <w:r>
        <w:rPr>
          <w:rFonts w:ascii="Arial" w:cs="Arial" w:eastAsia="Arial" w:hAnsi="Arial"/>
          <w:b w:val="false"/>
          <w:bCs w:val="false"/>
          <w:color w:val="334155"/>
          <w:sz w:val="22"/>
          <w:szCs w:val="22"/>
        </w:rPr>
        <w:t xml:space="preserve">Excellence already contains the ITPM module, which is the logical predecessor to TA scope. A TA Management Module extends this with: dedicated TA project workspace, scope register with criticality classification, critical path network with automated float calculation, contractor management and work package assignment, daily progress burn-down, punch list management, and post-TA KPI reporting.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64748B"/>
                <w:sz w:val="20"/>
                <w:szCs w:val="20"/>
              </w:rPr>
              <w:t xml:space="preserve">Target users</w:t>
            </w:r>
          </w:p>
        </w:tc>
        <w:tc>
          <w:tcPr>
            <w:tcW w:type="dxa" w:w="6826"/>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4155"/>
                <w:sz w:val="22"/>
                <w:szCs w:val="22"/>
              </w:rPr>
              <w:t xml:space="preserve">TA managers, project engineers, operations managers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64748B"/>
                <w:sz w:val="20"/>
                <w:szCs w:val="20"/>
              </w:rPr>
              <w:t xml:space="preserve">Industries</w:t>
            </w:r>
          </w:p>
        </w:tc>
        <w:tc>
          <w:tcPr>
            <w:tcW w:type="dxa" w:w="6826"/>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4155"/>
                <w:sz w:val="22"/>
                <w:szCs w:val="22"/>
              </w:rPr>
              <w:t xml:space="preserve">O&amp;G upstream/downstream — direct upsell to all current Excellence clients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64748B"/>
                <w:sz w:val="20"/>
                <w:szCs w:val="20"/>
              </w:rPr>
              <w:t xml:space="preserve">Revenue model</w:t>
            </w:r>
          </w:p>
        </w:tc>
        <w:tc>
          <w:tcPr>
            <w:tcW w:type="dxa" w:w="6826"/>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4155"/>
                <w:sz w:val="22"/>
                <w:szCs w:val="22"/>
              </w:rPr>
              <w:t xml:space="preserve">Per-TA project license fee (one-time) + support retainer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64748B"/>
                <w:sz w:val="20"/>
                <w:szCs w:val="20"/>
              </w:rPr>
              <w:t xml:space="preserve">Development effort</w:t>
            </w:r>
          </w:p>
        </w:tc>
        <w:tc>
          <w:tcPr>
            <w:tcW w:type="dxa" w:w="6826"/>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4155"/>
                <w:sz w:val="22"/>
                <w:szCs w:val="22"/>
              </w:rPr>
              <w:t xml:space="preserve">Medium-high — core data models exist in Excellence; scheduling engine is new</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64748B"/>
                <w:sz w:val="20"/>
                <w:szCs w:val="20"/>
              </w:rPr>
              <w:t xml:space="preserve">Ticket size</w:t>
            </w:r>
          </w:p>
        </w:tc>
        <w:tc>
          <w:tcPr>
            <w:tcW w:type="dxa" w:w="6826"/>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4155"/>
                <w:sz w:val="22"/>
                <w:szCs w:val="22"/>
              </w:rPr>
              <w:t xml:space="preserve">High — TA budgets justify significant software spend</w:t>
            </w:r>
          </w:p>
        </w:tc>
      </w:tr>
    </w:tbl>
    <w:p>
      <w:pPr>
        <w:spacing w:after="0" w:before="120"/>
        <w:jc w:val="left"/>
      </w:pPr>
      <w:r>
        <w:rPr>
          <w:rFonts w:ascii="Arial" w:cs="Arial" w:eastAsia="Arial" w:hAnsi="Arial"/>
          <w:b w:val="false"/>
          <w:bCs w:val="false"/>
          <w:color w:val="334155"/>
          <w:sz w:val="22"/>
          <w:szCs w:val="22"/>
        </w:rPr>
        <w:t xml:space="preserve"/>
      </w:r>
    </w:p>
    <w:p>
      <w:pPr>
        <w:pStyle w:val="Heading3"/>
        <w:spacing w:after="80" w:before="200"/>
      </w:pPr>
      <w:r>
        <w:rPr>
          <w:rFonts w:ascii="Arial" w:cs="Arial" w:eastAsia="Arial" w:hAnsi="Arial"/>
          <w:b/>
          <w:bCs/>
          <w:color w:val="003478"/>
          <w:sz w:val="24"/>
          <w:szCs w:val="24"/>
        </w:rPr>
        <w:t xml:space="preserve">1.3  Well Integrity Management Module</w:t>
      </w:r>
    </w:p>
    <w:p>
      <w:pPr>
        <w:spacing w:after="80" w:before="80"/>
        <w:jc w:val="left"/>
      </w:pPr>
      <w:r>
        <w:rPr>
          <w:rFonts w:ascii="Arial" w:cs="Arial" w:eastAsia="Arial" w:hAnsi="Arial"/>
          <w:b w:val="false"/>
          <w:bCs w:val="false"/>
          <w:color w:val="334155"/>
          <w:sz w:val="22"/>
          <w:szCs w:val="22"/>
        </w:rPr>
        <w:t xml:space="preserve">For upstream O&amp;G clients, well integrity is a distinct discipline from surface asset management — yet it shares the same data foundation (asset hierarchy, failure modes, inspection records). Key capabilities: well barrier element (WBE) register per NORSOK D-010 / ISO 16530-1, annulus pressure monitoring and classification, well status diagram (dual barrier verification), leak-off test (LOT) and pressure test record management, and workover triggers.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64748B"/>
                <w:sz w:val="20"/>
                <w:szCs w:val="20"/>
              </w:rPr>
              <w:t xml:space="preserve">Target users</w:t>
            </w:r>
          </w:p>
        </w:tc>
        <w:tc>
          <w:tcPr>
            <w:tcW w:type="dxa" w:w="6826"/>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4155"/>
                <w:sz w:val="22"/>
                <w:szCs w:val="22"/>
              </w:rPr>
              <w:t xml:space="preserve">Well integrity engineers, drilling engineers, field operators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64748B"/>
                <w:sz w:val="20"/>
                <w:szCs w:val="20"/>
              </w:rPr>
              <w:t xml:space="preserve">Industries</w:t>
            </w:r>
          </w:p>
        </w:tc>
        <w:tc>
          <w:tcPr>
            <w:tcW w:type="dxa" w:w="6826"/>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4155"/>
                <w:sz w:val="22"/>
                <w:szCs w:val="22"/>
              </w:rPr>
              <w:t xml:space="preserve">Upstream O&amp;G — SKK Migas PSC operators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64748B"/>
                <w:sz w:val="20"/>
                <w:szCs w:val="20"/>
              </w:rPr>
              <w:t xml:space="preserve">Regulatory anchor</w:t>
            </w:r>
          </w:p>
        </w:tc>
        <w:tc>
          <w:tcPr>
            <w:tcW w:type="dxa" w:w="6826"/>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4155"/>
                <w:sz w:val="22"/>
                <w:szCs w:val="22"/>
              </w:rPr>
              <w:t xml:space="preserve">NORSOK D-010, ISO 16530-1, SKK Migas PTK 073</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64748B"/>
                <w:sz w:val="20"/>
                <w:szCs w:val="20"/>
              </w:rPr>
              <w:t xml:space="preserve">Revenue model</w:t>
            </w:r>
          </w:p>
        </w:tc>
        <w:tc>
          <w:tcPr>
            <w:tcW w:type="dxa" w:w="6826"/>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4155"/>
                <w:sz w:val="22"/>
                <w:szCs w:val="22"/>
              </w:rPr>
              <w:t xml:space="preserve">Per-well or per-field license module add-on</w:t>
            </w:r>
          </w:p>
        </w:tc>
      </w:tr>
    </w:tbl>
    <w:p>
      <w:pPr>
        <w:spacing w:after="0" w:before="120"/>
        <w:jc w:val="left"/>
      </w:pPr>
      <w:r>
        <w:rPr>
          <w:rFonts w:ascii="Arial" w:cs="Arial" w:eastAsia="Arial" w:hAnsi="Arial"/>
          <w:b w:val="false"/>
          <w:bCs w:val="false"/>
          <w:color w:val="334155"/>
          <w:sz w:val="22"/>
          <w:szCs w:val="22"/>
        </w:rPr>
        <w:t xml:space="preserve"/>
      </w:r>
    </w:p>
    <w:p>
      <w:pPr>
        <w:pStyle w:val="Heading3"/>
        <w:spacing w:after="80" w:before="200"/>
      </w:pPr>
      <w:r>
        <w:rPr>
          <w:rFonts w:ascii="Arial" w:cs="Arial" w:eastAsia="Arial" w:hAnsi="Arial"/>
          <w:b/>
          <w:bCs/>
          <w:color w:val="003478"/>
          <w:sz w:val="24"/>
          <w:szCs w:val="24"/>
        </w:rPr>
        <w:t xml:space="preserve">1.4  Carbon &amp; ESG Accounting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single" w:color="92400E" w:sz="1"/>
              <w:left w:val="single" w:color="92400E" w:sz="1"/>
              <w:bottom w:val="single" w:color="92400E" w:sz="1"/>
              <w:right w:val="single" w:color="92400E" w:sz="1"/>
            </w:tcBorders>
            <w:shd w:fill="FEF3C7" w:val="clear"/>
            <w:tcMar>
              <w:top w:type="dxa" w:w="80"/>
              <w:left w:type="dxa" w:w="160"/>
              <w:bottom w:type="dxa" w:w="80"/>
              <w:right w:type="dxa" w:w="160"/>
            </w:tcMar>
          </w:tcPr>
          <w:p>
            <w:pPr>
              <w:spacing w:after="0" w:before="0"/>
            </w:pPr>
            <w:r>
              <w:rPr>
                <w:rFonts w:ascii="Arial" w:cs="Arial" w:eastAsia="Arial" w:hAnsi="Arial"/>
                <w:color w:val="334155"/>
                <w:sz w:val="21"/>
                <w:szCs w:val="21"/>
              </w:rPr>
              <w:t xml:space="preserve">Mandatory ESG disclosure for listed companies (OJK SEOJK 16/2021). EU Battery Regulation 2024 requires emission declaration from nickel suppliers by 2027. This is no longer optional.</w:t>
            </w:r>
          </w:p>
        </w:tc>
      </w:tr>
    </w:tbl>
    <w:p>
      <w:pPr>
        <w:spacing w:after="0" w:before="60"/>
        <w:jc w:val="left"/>
      </w:pPr>
      <w:r>
        <w:rPr>
          <w:rFonts w:ascii="Arial" w:cs="Arial" w:eastAsia="Arial" w:hAnsi="Arial"/>
          <w:b w:val="false"/>
          <w:bCs w:val="false"/>
          <w:color w:val="334155"/>
          <w:sz w:val="22"/>
          <w:szCs w:val="22"/>
        </w:rPr>
        <w:t xml:space="preserve"/>
      </w:r>
    </w:p>
    <w:p>
      <w:pPr>
        <w:spacing w:after="80" w:before="80"/>
        <w:jc w:val="left"/>
      </w:pPr>
      <w:r>
        <w:rPr>
          <w:rFonts w:ascii="Arial" w:cs="Arial" w:eastAsia="Arial" w:hAnsi="Arial"/>
          <w:b w:val="false"/>
          <w:bCs w:val="false"/>
          <w:color w:val="334155"/>
          <w:sz w:val="22"/>
          <w:szCs w:val="22"/>
        </w:rPr>
        <w:t xml:space="preserve">Excellence already tracks every piece of equipment, every maintenance activity, every fuel/energy consumption for inspection purposes. With a Carbon Module overlay, this data becomes a Scope 1/2/3 emission ledger with almost zero additional data entry from users. GHG Protocol methodology, emission factors per equipment type (rotating machinery, combustion engines, flare stacks), automatic monthly/annual reports for OJK disclosure, and supply chain reporting templates for EU and Japanese buyers.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64748B"/>
                <w:sz w:val="20"/>
                <w:szCs w:val="20"/>
              </w:rPr>
              <w:t xml:space="preserve">Primary target</w:t>
            </w:r>
          </w:p>
        </w:tc>
        <w:tc>
          <w:tcPr>
            <w:tcW w:type="dxa" w:w="6826"/>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4155"/>
                <w:sz w:val="22"/>
                <w:szCs w:val="22"/>
              </w:rPr>
              <w:t xml:space="preserve">Nickel smelters, O&amp;G operators, listed industrial companies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64748B"/>
                <w:sz w:val="20"/>
                <w:szCs w:val="20"/>
              </w:rPr>
              <w:t xml:space="preserve">Regulatory drivers</w:t>
            </w:r>
          </w:p>
        </w:tc>
        <w:tc>
          <w:tcPr>
            <w:tcW w:type="dxa" w:w="6826"/>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4155"/>
                <w:sz w:val="22"/>
                <w:szCs w:val="22"/>
              </w:rPr>
              <w:t xml:space="preserve">OJK SEOJK 16/2021, EU Battery Regulation, GHG Protocol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64748B"/>
                <w:sz w:val="20"/>
                <w:szCs w:val="20"/>
              </w:rPr>
              <w:t xml:space="preserve">Revenue model</w:t>
            </w:r>
          </w:p>
        </w:tc>
        <w:tc>
          <w:tcPr>
            <w:tcW w:type="dxa" w:w="6826"/>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4155"/>
                <w:sz w:val="22"/>
                <w:szCs w:val="22"/>
              </w:rPr>
              <w:t xml:space="preserve">Annual subscription — compliance reporting module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64748B"/>
                <w:sz w:val="20"/>
                <w:szCs w:val="20"/>
              </w:rPr>
              <w:t xml:space="preserve">Urgency</w:t>
            </w:r>
          </w:p>
        </w:tc>
        <w:tc>
          <w:tcPr>
            <w:tcW w:type="dxa" w:w="6826"/>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4155"/>
                <w:sz w:val="22"/>
                <w:szCs w:val="22"/>
              </w:rPr>
              <w:t xml:space="preserve">HIGH — 2027 deadlines approaching for several clients</w:t>
            </w:r>
          </w:p>
        </w:tc>
      </w:tr>
    </w:tbl>
    <w:p>
      <w:pPr>
        <w:spacing w:after="0" w:before="120"/>
        <w:jc w:val="left"/>
      </w:pPr>
      <w:r>
        <w:rPr>
          <w:rFonts w:ascii="Arial" w:cs="Arial" w:eastAsia="Arial" w:hAnsi="Arial"/>
          <w:b w:val="false"/>
          <w:bCs w:val="false"/>
          <w:color w:val="334155"/>
          <w:sz w:val="22"/>
          <w:szCs w:val="22"/>
        </w:rPr>
        <w:t xml:space="preserve"/>
      </w:r>
    </w:p>
    <w:p>
      <w:pPr>
        <w:pStyle w:val="Heading2"/>
        <w:pBdr>
          <w:bottom w:val="single" w:color="003478" w:sz="8" w:space="4"/>
        </w:pBdr>
        <w:spacing w:after="100" w:before="280"/>
      </w:pPr>
      <w:r>
        <w:rPr>
          <w:rFonts w:ascii="Arial" w:cs="Arial" w:eastAsia="Arial" w:hAnsi="Arial"/>
          <w:b/>
          <w:bCs/>
          <w:color w:val="003478"/>
          <w:sz w:val="28"/>
          <w:szCs w:val="28"/>
        </w:rPr>
        <w:t xml:space="preserve">TIER 2 — New Hardware + Software Products (Built on CRI Stack)</w:t>
      </w:r>
    </w:p>
    <w:p>
      <w:pPr>
        <w:spacing w:after="120" w:before="80"/>
        <w:jc w:val="left"/>
      </w:pPr>
      <w:r>
        <w:rPr>
          <w:rFonts w:ascii="Arial" w:cs="Arial" w:eastAsia="Arial" w:hAnsi="Arial"/>
          <w:b w:val="false"/>
          <w:bCs w:val="false"/>
          <w:color w:val="64748B"/>
          <w:sz w:val="22"/>
          <w:szCs w:val="22"/>
        </w:rPr>
        <w:t xml:space="preserve">New products that leverage existing IoT/ConMon work and create hardware+SaaS revenue streams.</w:t>
      </w:r>
    </w:p>
    <w:p>
      <w:pPr>
        <w:pStyle w:val="Heading3"/>
        <w:spacing w:after="80" w:before="200"/>
      </w:pPr>
      <w:r>
        <w:rPr>
          <w:rFonts w:ascii="Arial" w:cs="Arial" w:eastAsia="Arial" w:hAnsi="Arial"/>
          <w:b/>
          <w:bCs/>
          <w:color w:val="003478"/>
          <w:sz w:val="24"/>
          <w:szCs w:val="24"/>
        </w:rPr>
        <w:t xml:space="preserve">2.1  CRI Edge Intelligence Box (Hardware Product)</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single" w:color="166534" w:sz="1"/>
              <w:left w:val="single" w:color="166534" w:sz="1"/>
              <w:bottom w:val="single" w:color="166534" w:sz="1"/>
              <w:right w:val="single" w:color="166534" w:sz="1"/>
            </w:tcBorders>
            <w:shd w:fill="DCFCE7" w:val="clear"/>
            <w:tcMar>
              <w:top w:type="dxa" w:w="80"/>
              <w:left w:type="dxa" w:w="160"/>
              <w:bottom w:type="dxa" w:w="80"/>
              <w:right w:type="dxa" w:w="160"/>
            </w:tcMar>
          </w:tcPr>
          <w:p>
            <w:pPr>
              <w:spacing w:after="0" w:before="0"/>
            </w:pPr>
            <w:r>
              <w:rPr>
                <w:rFonts w:ascii="Arial" w:cs="Arial" w:eastAsia="Arial" w:hAnsi="Arial"/>
                <w:color w:val="334155"/>
                <w:sz w:val="21"/>
                <w:szCs w:val="21"/>
              </w:rPr>
              <w:t xml:space="preserve">The IPA Convex demo proved the market exists. Now productize it.</w:t>
            </w:r>
          </w:p>
        </w:tc>
      </w:tr>
    </w:tbl>
    <w:p>
      <w:pPr>
        <w:spacing w:after="0" w:before="60"/>
        <w:jc w:val="left"/>
      </w:pPr>
      <w:r>
        <w:rPr>
          <w:rFonts w:ascii="Arial" w:cs="Arial" w:eastAsia="Arial" w:hAnsi="Arial"/>
          <w:b w:val="false"/>
          <w:bCs w:val="false"/>
          <w:color w:val="334155"/>
          <w:sz w:val="22"/>
          <w:szCs w:val="22"/>
        </w:rPr>
        <w:t xml:space="preserve"/>
      </w:r>
    </w:p>
    <w:p>
      <w:pPr>
        <w:spacing w:after="80" w:before="80"/>
        <w:jc w:val="left"/>
      </w:pPr>
      <w:r>
        <w:rPr>
          <w:rFonts w:ascii="Arial" w:cs="Arial" w:eastAsia="Arial" w:hAnsi="Arial"/>
          <w:b w:val="false"/>
          <w:bCs w:val="false"/>
          <w:color w:val="334155"/>
          <w:sz w:val="22"/>
          <w:szCs w:val="22"/>
        </w:rPr>
        <w:t xml:space="preserve">A ruggedized industrial compute box (based on NVIDIA Jetson Orin Nano or Raspberry Pi CM4) that runs local AI anomaly detection without requiring internet connectivity. Designed for the realities of Indonesian industrial sites: unstable connectivity, extreme heat/dust, and field operators who need instant feedback without opening a laptop.</w:t>
      </w:r>
    </w:p>
    <w:p>
      <w:pPr>
        <w:spacing w:after="20" w:before="80"/>
        <w:jc w:val="left"/>
      </w:pPr>
      <w:r>
        <w:rPr>
          <w:rFonts w:ascii="Arial" w:cs="Arial" w:eastAsia="Arial" w:hAnsi="Arial"/>
          <w:b/>
          <w:bCs/>
          <w:color w:val="334155"/>
          <w:sz w:val="22"/>
          <w:szCs w:val="22"/>
        </w:rPr>
        <w:t xml:space="preserve">Hardware architecture:</w:t>
      </w:r>
    </w:p>
    <w:p>
      <w:pPr>
        <w:pStyle w:val="ListParagraph"/>
        <w:numPr>
          <w:ilvl w:val="0"/>
          <w:numId w:val="2"/>
        </w:numPr>
        <w:spacing w:after="40" w:before="40"/>
      </w:pPr>
      <w:r>
        <w:rPr>
          <w:rFonts w:ascii="Arial" w:cs="Arial" w:eastAsia="Arial" w:hAnsi="Arial"/>
          <w:color w:val="334155"/>
          <w:sz w:val="22"/>
          <w:szCs w:val="22"/>
        </w:rPr>
        <w:t xml:space="preserve">Compute: NVIDIA Jetson Orin Nano (8GB) for ML inference, or RPi CM4 for lighter workloads</w:t>
      </w:r>
    </w:p>
    <w:p>
      <w:pPr>
        <w:pStyle w:val="ListParagraph"/>
        <w:numPr>
          <w:ilvl w:val="0"/>
          <w:numId w:val="2"/>
        </w:numPr>
        <w:spacing w:after="40" w:before="40"/>
      </w:pPr>
      <w:r>
        <w:rPr>
          <w:rFonts w:ascii="Arial" w:cs="Arial" w:eastAsia="Arial" w:hAnsi="Arial"/>
          <w:color w:val="334155"/>
          <w:sz w:val="22"/>
          <w:szCs w:val="22"/>
        </w:rPr>
        <w:t xml:space="preserve">Connectivity: 4G LTE + Ethernet + WiFi + RS-485/Modbus for legacy SCADA integration</w:t>
      </w:r>
    </w:p>
    <w:p>
      <w:pPr>
        <w:pStyle w:val="ListParagraph"/>
        <w:numPr>
          <w:ilvl w:val="0"/>
          <w:numId w:val="2"/>
        </w:numPr>
        <w:spacing w:after="40" w:before="40"/>
      </w:pPr>
      <w:r>
        <w:rPr>
          <w:rFonts w:ascii="Arial" w:cs="Arial" w:eastAsia="Arial" w:hAnsi="Arial"/>
          <w:color w:val="334155"/>
          <w:sz w:val="22"/>
          <w:szCs w:val="22"/>
        </w:rPr>
        <w:t xml:space="preserve">Inputs: up to 16 analog/digital sensor channels + vibration (MEMS or IEPE accelerometer)</w:t>
      </w:r>
    </w:p>
    <w:p>
      <w:pPr>
        <w:pStyle w:val="ListParagraph"/>
        <w:numPr>
          <w:ilvl w:val="0"/>
          <w:numId w:val="2"/>
        </w:numPr>
        <w:spacing w:after="40" w:before="40"/>
      </w:pPr>
      <w:r>
        <w:rPr>
          <w:rFonts w:ascii="Arial" w:cs="Arial" w:eastAsia="Arial" w:hAnsi="Arial"/>
          <w:color w:val="334155"/>
          <w:sz w:val="22"/>
          <w:szCs w:val="22"/>
        </w:rPr>
        <w:t xml:space="preserve">Display: optional 7" touchscreen HMI for field operator view</w:t>
      </w:r>
    </w:p>
    <w:p>
      <w:pPr>
        <w:pStyle w:val="ListParagraph"/>
        <w:numPr>
          <w:ilvl w:val="0"/>
          <w:numId w:val="2"/>
        </w:numPr>
        <w:spacing w:after="40" w:before="40"/>
      </w:pPr>
      <w:r>
        <w:rPr>
          <w:rFonts w:ascii="Arial" w:cs="Arial" w:eastAsia="Arial" w:hAnsi="Arial"/>
          <w:color w:val="334155"/>
          <w:sz w:val="22"/>
          <w:szCs w:val="22"/>
        </w:rPr>
        <w:t xml:space="preserve">Enclosure: IP67, DIN rail mountable, -20°C to +70°C operating range</w:t>
      </w:r>
    </w:p>
    <w:p>
      <w:pPr>
        <w:spacing w:after="0" w:before="60"/>
        <w:jc w:val="left"/>
      </w:pPr>
      <w:r>
        <w:rPr>
          <w:rFonts w:ascii="Arial" w:cs="Arial" w:eastAsia="Arial" w:hAnsi="Arial"/>
          <w:b w:val="false"/>
          <w:bCs w:val="false"/>
          <w:color w:val="334155"/>
          <w:sz w:val="22"/>
          <w:szCs w:val="22"/>
        </w:rPr>
        <w:t xml:space="preserve"/>
      </w:r>
    </w:p>
    <w:p>
      <w:pPr>
        <w:spacing w:after="20" w:before="80"/>
        <w:jc w:val="left"/>
      </w:pPr>
      <w:r>
        <w:rPr>
          <w:rFonts w:ascii="Arial" w:cs="Arial" w:eastAsia="Arial" w:hAnsi="Arial"/>
          <w:b/>
          <w:bCs/>
          <w:color w:val="334155"/>
          <w:sz w:val="22"/>
          <w:szCs w:val="22"/>
        </w:rPr>
        <w:t xml:space="preserve">Software stack:</w:t>
      </w:r>
    </w:p>
    <w:p>
      <w:pPr>
        <w:pStyle w:val="ListParagraph"/>
        <w:numPr>
          <w:ilvl w:val="0"/>
          <w:numId w:val="2"/>
        </w:numPr>
        <w:spacing w:after="40" w:before="40"/>
      </w:pPr>
      <w:r>
        <w:rPr>
          <w:rFonts w:ascii="Arial" w:cs="Arial" w:eastAsia="Arial" w:hAnsi="Arial"/>
          <w:color w:val="334155"/>
          <w:sz w:val="22"/>
          <w:szCs w:val="22"/>
        </w:rPr>
        <w:t xml:space="preserve">Local inference: TensorFlow Lite / ONNX Runtime for anomaly detection models</w:t>
      </w:r>
    </w:p>
    <w:p>
      <w:pPr>
        <w:pStyle w:val="ListParagraph"/>
        <w:numPr>
          <w:ilvl w:val="0"/>
          <w:numId w:val="2"/>
        </w:numPr>
        <w:spacing w:after="40" w:before="40"/>
      </w:pPr>
      <w:r>
        <w:rPr>
          <w:rFonts w:ascii="Arial" w:cs="Arial" w:eastAsia="Arial" w:hAnsi="Arial"/>
          <w:color w:val="334155"/>
          <w:sz w:val="22"/>
          <w:szCs w:val="22"/>
        </w:rPr>
        <w:t xml:space="preserve">Time-series DB: InfluxDB local + sync to Excellence cloud on connectivity restore</w:t>
      </w:r>
    </w:p>
    <w:p>
      <w:pPr>
        <w:pStyle w:val="ListParagraph"/>
        <w:numPr>
          <w:ilvl w:val="0"/>
          <w:numId w:val="2"/>
        </w:numPr>
        <w:spacing w:after="40" w:before="40"/>
      </w:pPr>
      <w:r>
        <w:rPr>
          <w:rFonts w:ascii="Arial" w:cs="Arial" w:eastAsia="Arial" w:hAnsi="Arial"/>
          <w:color w:val="334155"/>
          <w:sz w:val="22"/>
          <w:szCs w:val="22"/>
        </w:rPr>
        <w:t xml:space="preserve">Connectivity: MQTT → HiveMQ cloud → Excellence backend</w:t>
      </w:r>
    </w:p>
    <w:p>
      <w:pPr>
        <w:pStyle w:val="ListParagraph"/>
        <w:numPr>
          <w:ilvl w:val="0"/>
          <w:numId w:val="2"/>
        </w:numPr>
        <w:spacing w:after="40" w:before="40"/>
      </w:pPr>
      <w:r>
        <w:rPr>
          <w:rFonts w:ascii="Arial" w:cs="Arial" w:eastAsia="Arial" w:hAnsi="Arial"/>
          <w:color w:val="334155"/>
          <w:sz w:val="22"/>
          <w:szCs w:val="22"/>
        </w:rPr>
        <w:t xml:space="preserve">OTA updates: Balena.io fleet management for firmware and model updates</w:t>
      </w:r>
    </w:p>
    <w:p>
      <w:pPr>
        <w:spacing w:after="0" w:before="60"/>
        <w:jc w:val="left"/>
      </w:pPr>
      <w:r>
        <w:rPr>
          <w:rFonts w:ascii="Arial" w:cs="Arial" w:eastAsia="Arial" w:hAnsi="Arial"/>
          <w:b w:val="false"/>
          <w:bCs w:val="false"/>
          <w:color w:val="334155"/>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64748B"/>
                <w:sz w:val="20"/>
                <w:szCs w:val="20"/>
              </w:rPr>
              <w:t xml:space="preserve">Revenue model</w:t>
            </w:r>
          </w:p>
        </w:tc>
        <w:tc>
          <w:tcPr>
            <w:tcW w:type="dxa" w:w="6826"/>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4155"/>
                <w:sz w:val="22"/>
                <w:szCs w:val="22"/>
              </w:rPr>
              <w:t xml:space="preserve">Hardware: Rp 15–35 juta/unit + Rp 2–5 juta/month cloud subscription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64748B"/>
                <w:sz w:val="20"/>
                <w:szCs w:val="20"/>
              </w:rPr>
              <w:t xml:space="preserve">Target</w:t>
            </w:r>
          </w:p>
        </w:tc>
        <w:tc>
          <w:tcPr>
            <w:tcW w:type="dxa" w:w="6826"/>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4155"/>
                <w:sz w:val="22"/>
                <w:szCs w:val="22"/>
              </w:rPr>
              <w:t xml:space="preserve">O&amp;G facilities, geothermal power plants, mining operations with remote assets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64748B"/>
                <w:sz w:val="20"/>
                <w:szCs w:val="20"/>
              </w:rPr>
              <w:t xml:space="preserve">Moat</w:t>
            </w:r>
          </w:p>
        </w:tc>
        <w:tc>
          <w:tcPr>
            <w:tcW w:type="dxa" w:w="6826"/>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4155"/>
                <w:sz w:val="22"/>
                <w:szCs w:val="22"/>
              </w:rPr>
              <w:t xml:space="preserve">Pre-integrated with Excellence — plug in device, data flows to AIRMS automatically</w:t>
            </w:r>
          </w:p>
        </w:tc>
      </w:tr>
    </w:tbl>
    <w:p>
      <w:pPr>
        <w:spacing w:after="0" w:before="120"/>
        <w:jc w:val="left"/>
      </w:pPr>
      <w:r>
        <w:rPr>
          <w:rFonts w:ascii="Arial" w:cs="Arial" w:eastAsia="Arial" w:hAnsi="Arial"/>
          <w:b w:val="false"/>
          <w:bCs w:val="false"/>
          <w:color w:val="334155"/>
          <w:sz w:val="22"/>
          <w:szCs w:val="22"/>
        </w:rPr>
        <w:t xml:space="preserve"/>
      </w:r>
    </w:p>
    <w:p>
      <w:pPr>
        <w:pStyle w:val="Heading3"/>
        <w:spacing w:after="80" w:before="200"/>
      </w:pPr>
      <w:r>
        <w:rPr>
          <w:rFonts w:ascii="Arial" w:cs="Arial" w:eastAsia="Arial" w:hAnsi="Arial"/>
          <w:b/>
          <w:bCs/>
          <w:color w:val="003478"/>
          <w:sz w:val="24"/>
          <w:szCs w:val="24"/>
        </w:rPr>
        <w:t xml:space="preserve">2.2  Digital Twin Layer — Excellence Live Twin</w:t>
      </w:r>
    </w:p>
    <w:p>
      <w:pPr>
        <w:spacing w:after="80" w:before="80"/>
        <w:jc w:val="left"/>
      </w:pPr>
      <w:r>
        <w:rPr>
          <w:rFonts w:ascii="Arial" w:cs="Arial" w:eastAsia="Arial" w:hAnsi="Arial"/>
          <w:b w:val="false"/>
          <w:bCs w:val="false"/>
          <w:color w:val="334155"/>
          <w:sz w:val="22"/>
          <w:szCs w:val="22"/>
        </w:rPr>
        <w:t xml:space="preserve">A digital twin is only as good as its data foundation. Most companies fail at twins because they start with the 3D model and then try to connect data. CRI's approach is the reverse: start with the structured asset register (ISO 14224 hierarchy, FMEA failure modes, RBI risk classification) that Excellence already provides, then add live sensor data from the Edge Intelligence Box, then add the Xellena reasoning layer on top.</w:t>
      </w:r>
    </w:p>
    <w:p>
      <w:pPr>
        <w:spacing w:after="80" w:before="80"/>
        <w:jc w:val="left"/>
      </w:pPr>
      <w:r>
        <w:rPr>
          <w:rFonts w:ascii="Arial" w:cs="Arial" w:eastAsia="Arial" w:hAnsi="Arial"/>
          <w:b w:val="false"/>
          <w:bCs w:val="false"/>
          <w:color w:val="334155"/>
          <w:sz w:val="22"/>
          <w:szCs w:val="22"/>
        </w:rPr>
        <w:t xml:space="preserve">The result is a "Cognitive Digital Twin" as defined by industry analysts in 2026 — one that understands context, not just data. Three maturity levels can be delivered incrementally:</w:t>
      </w:r>
    </w:p>
    <w:p>
      <w:pPr>
        <w:pStyle w:val="ListParagraph"/>
        <w:numPr>
          <w:ilvl w:val="0"/>
          <w:numId w:val="2"/>
        </w:numPr>
        <w:spacing w:after="40" w:before="40"/>
      </w:pPr>
      <w:r>
        <w:rPr>
          <w:rFonts w:ascii="Arial" w:cs="Arial" w:eastAsia="Arial" w:hAnsi="Arial"/>
          <w:color w:val="334155"/>
          <w:sz w:val="22"/>
          <w:szCs w:val="22"/>
        </w:rPr>
        <w:t xml:space="preserve">Level 1 (L1) — Data Twin: real-time sensor data connected to asset register. KPIs and alerts visible in Excellence dashboard.</w:t>
      </w:r>
    </w:p>
    <w:p>
      <w:pPr>
        <w:pStyle w:val="ListParagraph"/>
        <w:numPr>
          <w:ilvl w:val="0"/>
          <w:numId w:val="2"/>
        </w:numPr>
        <w:spacing w:after="40" w:before="40"/>
      </w:pPr>
      <w:r>
        <w:rPr>
          <w:rFonts w:ascii="Arial" w:cs="Arial" w:eastAsia="Arial" w:hAnsi="Arial"/>
          <w:color w:val="334155"/>
          <w:sz w:val="22"/>
          <w:szCs w:val="22"/>
        </w:rPr>
        <w:t xml:space="preserve">Level 2 (L2) — Predictive Twin: ML models predict failure probability. Xellena provides natural language interface to the twin state.</w:t>
      </w:r>
    </w:p>
    <w:p>
      <w:pPr>
        <w:pStyle w:val="ListParagraph"/>
        <w:numPr>
          <w:ilvl w:val="0"/>
          <w:numId w:val="2"/>
        </w:numPr>
        <w:spacing w:after="40" w:before="40"/>
      </w:pPr>
      <w:r>
        <w:rPr>
          <w:rFonts w:ascii="Arial" w:cs="Arial" w:eastAsia="Arial" w:hAnsi="Arial"/>
          <w:color w:val="334155"/>
          <w:sz w:val="22"/>
          <w:szCs w:val="22"/>
        </w:rPr>
        <w:t xml:space="preserve">Level 3 (L3) — Cognitive Twin: the twin understands failure context, generates recommendations, and initiates work orders autonomously.</w:t>
      </w:r>
    </w:p>
    <w:p>
      <w:pPr>
        <w:spacing w:after="80" w:before="80"/>
        <w:jc w:val="left"/>
      </w:pPr>
      <w:r>
        <w:rPr>
          <w:rFonts w:ascii="Arial" w:cs="Arial" w:eastAsia="Arial" w:hAnsi="Arial"/>
          <w:b w:val="false"/>
          <w:bCs w:val="false"/>
          <w:color w:val="334155"/>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64748B"/>
                <w:sz w:val="20"/>
                <w:szCs w:val="20"/>
              </w:rPr>
              <w:t xml:space="preserve">Frontend</w:t>
            </w:r>
          </w:p>
        </w:tc>
        <w:tc>
          <w:tcPr>
            <w:tcW w:type="dxa" w:w="6826"/>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4155"/>
                <w:sz w:val="22"/>
                <w:szCs w:val="22"/>
              </w:rPr>
              <w:t xml:space="preserve">Three.js or Babylon.js 3D viewer embedded in Excellence, plus 2D P&amp;ID overlay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64748B"/>
                <w:sz w:val="20"/>
                <w:szCs w:val="20"/>
              </w:rPr>
              <w:t xml:space="preserve">Data model</w:t>
            </w:r>
          </w:p>
        </w:tc>
        <w:tc>
          <w:tcPr>
            <w:tcW w:type="dxa" w:w="6826"/>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4155"/>
                <w:sz w:val="22"/>
                <w:szCs w:val="22"/>
              </w:rPr>
              <w:t xml:space="preserve">Inherits Excellence ISO 14224 hierarchy — zero duplication of asset data</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64748B"/>
                <w:sz w:val="20"/>
                <w:szCs w:val="20"/>
              </w:rPr>
              <w:t xml:space="preserve">Revenue model</w:t>
            </w:r>
          </w:p>
        </w:tc>
        <w:tc>
          <w:tcPr>
            <w:tcW w:type="dxa" w:w="6826"/>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4155"/>
                <w:sz w:val="22"/>
                <w:szCs w:val="22"/>
              </w:rPr>
              <w:t xml:space="preserve">Phased: L1 included in base Excellence, L2/L3 as premium tiers</w:t>
            </w:r>
          </w:p>
        </w:tc>
      </w:tr>
    </w:tbl>
    <w:p>
      <w:pPr>
        <w:spacing w:after="0" w:before="120"/>
        <w:jc w:val="left"/>
      </w:pPr>
      <w:r>
        <w:rPr>
          <w:rFonts w:ascii="Arial" w:cs="Arial" w:eastAsia="Arial" w:hAnsi="Arial"/>
          <w:b w:val="false"/>
          <w:bCs w:val="false"/>
          <w:color w:val="334155"/>
          <w:sz w:val="22"/>
          <w:szCs w:val="22"/>
        </w:rPr>
        <w:t xml:space="preserve"/>
      </w:r>
    </w:p>
    <w:p>
      <w:pPr>
        <w:pStyle w:val="Heading3"/>
        <w:spacing w:after="80" w:before="200"/>
      </w:pPr>
      <w:r>
        <w:rPr>
          <w:rFonts w:ascii="Arial" w:cs="Arial" w:eastAsia="Arial" w:hAnsi="Arial"/>
          <w:b/>
          <w:bCs/>
          <w:color w:val="003478"/>
          <w:sz w:val="24"/>
          <w:szCs w:val="24"/>
        </w:rPr>
        <w:t xml:space="preserve">2.3  Inspector Pro — Mobile Field App</w:t>
      </w:r>
    </w:p>
    <w:p>
      <w:pPr>
        <w:spacing w:after="80" w:before="80"/>
        <w:jc w:val="left"/>
      </w:pPr>
      <w:r>
        <w:rPr>
          <w:rFonts w:ascii="Arial" w:cs="Arial" w:eastAsia="Arial" w:hAnsi="Arial"/>
          <w:b w:val="false"/>
          <w:bCs w:val="false"/>
          <w:color w:val="334155"/>
          <w:sz w:val="22"/>
          <w:szCs w:val="22"/>
        </w:rPr>
        <w:t xml:space="preserve">Every inspection engineer has the same problem: they write findings on paper in the field, then transcribe them into a computer hours later — with inevitable data loss, transcription errors, and lag between observation and record. Inspector Pro closes this loop entirely.</w:t>
      </w:r>
    </w:p>
    <w:p>
      <w:pPr>
        <w:spacing w:after="20" w:before="80"/>
        <w:jc w:val="left"/>
      </w:pPr>
      <w:r>
        <w:rPr>
          <w:rFonts w:ascii="Arial" w:cs="Arial" w:eastAsia="Arial" w:hAnsi="Arial"/>
          <w:b/>
          <w:bCs/>
          <w:color w:val="334155"/>
          <w:sz w:val="22"/>
          <w:szCs w:val="22"/>
        </w:rPr>
        <w:t xml:space="preserve">Core user journey:</w:t>
      </w:r>
    </w:p>
    <w:p>
      <w:pPr>
        <w:pStyle w:val="ListParagraph"/>
        <w:numPr>
          <w:ilvl w:val="0"/>
          <w:numId w:val="3"/>
        </w:numPr>
        <w:spacing w:after="40" w:before="40"/>
      </w:pPr>
      <w:r>
        <w:rPr>
          <w:rFonts w:ascii="Arial" w:cs="Arial" w:eastAsia="Arial" w:hAnsi="Arial"/>
          <w:color w:val="334155"/>
          <w:sz w:val="22"/>
          <w:szCs w:val="22"/>
        </w:rPr>
        <w:t xml:space="preserve">Engineer arrives at equipment. Scans NFC tag or QR code on the asset.</w:t>
      </w:r>
    </w:p>
    <w:p>
      <w:pPr>
        <w:pStyle w:val="ListParagraph"/>
        <w:numPr>
          <w:ilvl w:val="0"/>
          <w:numId w:val="3"/>
        </w:numPr>
        <w:spacing w:after="40" w:before="40"/>
      </w:pPr>
      <w:r>
        <w:rPr>
          <w:rFonts w:ascii="Arial" w:cs="Arial" w:eastAsia="Arial" w:hAnsi="Arial"/>
          <w:color w:val="334155"/>
          <w:sz w:val="22"/>
          <w:szCs w:val="22"/>
        </w:rPr>
        <w:t xml:space="preserve">App fetches: last inspection date, current RBI risk level, open work orders, FMEA failure modes — all from Excellence, displayed on the phone.</w:t>
      </w:r>
    </w:p>
    <w:p>
      <w:pPr>
        <w:pStyle w:val="ListParagraph"/>
        <w:numPr>
          <w:ilvl w:val="0"/>
          <w:numId w:val="3"/>
        </w:numPr>
        <w:spacing w:after="40" w:before="40"/>
      </w:pPr>
      <w:r>
        <w:rPr>
          <w:rFonts w:ascii="Arial" w:cs="Arial" w:eastAsia="Arial" w:hAnsi="Arial"/>
          <w:color w:val="334155"/>
          <w:sz w:val="22"/>
          <w:szCs w:val="22"/>
        </w:rPr>
        <w:t xml:space="preserve">Engineer photographs damage. On-device AI classifies: corrosion type, crack, erosion, fouling, mechanical damage — with severity estimate.</w:t>
      </w:r>
    </w:p>
    <w:p>
      <w:pPr>
        <w:pStyle w:val="ListParagraph"/>
        <w:numPr>
          <w:ilvl w:val="0"/>
          <w:numId w:val="3"/>
        </w:numPr>
        <w:spacing w:after="40" w:before="40"/>
      </w:pPr>
      <w:r>
        <w:rPr>
          <w:rFonts w:ascii="Arial" w:cs="Arial" w:eastAsia="Arial" w:hAnsi="Arial"/>
          <w:color w:val="334155"/>
          <w:sz w:val="22"/>
          <w:szCs w:val="22"/>
        </w:rPr>
        <w:t xml:space="preserve">Voice-to-text for field notes. GPS and timestamp auto-captured.</w:t>
      </w:r>
    </w:p>
    <w:p>
      <w:pPr>
        <w:pStyle w:val="ListParagraph"/>
        <w:numPr>
          <w:ilvl w:val="0"/>
          <w:numId w:val="3"/>
        </w:numPr>
        <w:spacing w:after="40" w:before="40"/>
      </w:pPr>
      <w:r>
        <w:rPr>
          <w:rFonts w:ascii="Arial" w:cs="Arial" w:eastAsia="Arial" w:hAnsi="Arial"/>
          <w:color w:val="334155"/>
          <w:sz w:val="22"/>
          <w:szCs w:val="22"/>
        </w:rPr>
        <w:t xml:space="preserve">Finding syncs to Excellence RBI module immediately. RBI risk re-assessed automatically. High-risk findings trigger Xellena for work order generation.</w:t>
      </w:r>
    </w:p>
    <w:p>
      <w:pPr>
        <w:spacing w:after="80" w:before="80"/>
        <w:jc w:val="left"/>
      </w:pPr>
      <w:r>
        <w:rPr>
          <w:rFonts w:ascii="Arial" w:cs="Arial" w:eastAsia="Arial" w:hAnsi="Arial"/>
          <w:b w:val="false"/>
          <w:bCs w:val="false"/>
          <w:color w:val="334155"/>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64748B"/>
                <w:sz w:val="20"/>
                <w:szCs w:val="20"/>
              </w:rPr>
              <w:t xml:space="preserve">Platform</w:t>
            </w:r>
          </w:p>
        </w:tc>
        <w:tc>
          <w:tcPr>
            <w:tcW w:type="dxa" w:w="6826"/>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4155"/>
                <w:sz w:val="22"/>
                <w:szCs w:val="22"/>
              </w:rPr>
              <w:t xml:space="preserve">React Native — iOS + Android from single codebase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64748B"/>
                <w:sz w:val="20"/>
                <w:szCs w:val="20"/>
              </w:rPr>
              <w:t xml:space="preserve">AI model</w:t>
            </w:r>
          </w:p>
        </w:tc>
        <w:tc>
          <w:tcPr>
            <w:tcW w:type="dxa" w:w="6826"/>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4155"/>
                <w:sz w:val="22"/>
                <w:szCs w:val="22"/>
              </w:rPr>
              <w:t xml:space="preserve">Custom-trained damage classification model (MobileNet backbone, fine-tuned on OREDA damage photos)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64748B"/>
                <w:sz w:val="20"/>
                <w:szCs w:val="20"/>
              </w:rPr>
              <w:t xml:space="preserve">Revenue model</w:t>
            </w:r>
          </w:p>
        </w:tc>
        <w:tc>
          <w:tcPr>
            <w:tcW w:type="dxa" w:w="6826"/>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4155"/>
                <w:sz w:val="22"/>
                <w:szCs w:val="22"/>
              </w:rPr>
              <w:t xml:space="preserve">Per-user/month subscription; bundled discount with Excellence license</w:t>
            </w:r>
          </w:p>
        </w:tc>
      </w:tr>
    </w:tbl>
    <w:p>
      <w:pPr>
        <w:spacing w:after="0" w:before="120"/>
        <w:jc w:val="left"/>
      </w:pPr>
      <w:r>
        <w:rPr>
          <w:rFonts w:ascii="Arial" w:cs="Arial" w:eastAsia="Arial" w:hAnsi="Arial"/>
          <w:b w:val="false"/>
          <w:bCs w:val="false"/>
          <w:color w:val="334155"/>
          <w:sz w:val="22"/>
          <w:szCs w:val="22"/>
        </w:rPr>
        <w:t xml:space="preserve"/>
      </w:r>
    </w:p>
    <w:p>
      <w:pPr>
        <w:pStyle w:val="Heading3"/>
        <w:spacing w:after="80" w:before="200"/>
      </w:pPr>
      <w:r>
        <w:rPr>
          <w:rFonts w:ascii="Arial" w:cs="Arial" w:eastAsia="Arial" w:hAnsi="Arial"/>
          <w:b/>
          <w:bCs/>
          <w:color w:val="003478"/>
          <w:sz w:val="24"/>
          <w:szCs w:val="24"/>
        </w:rPr>
        <w:t xml:space="preserve">2.4  Physics-Based Structural Integrity Engine</w:t>
      </w:r>
    </w:p>
    <w:p>
      <w:pPr>
        <w:spacing w:after="80" w:before="80"/>
        <w:jc w:val="left"/>
      </w:pPr>
      <w:r>
        <w:rPr>
          <w:rFonts w:ascii="Arial" w:cs="Arial" w:eastAsia="Arial" w:hAnsi="Arial"/>
          <w:b w:val="false"/>
          <w:bCs w:val="false"/>
          <w:color w:val="334155"/>
          <w:sz w:val="22"/>
          <w:szCs w:val="22"/>
        </w:rPr>
        <w:t xml:space="preserve">Traditional ML-based predictive maintenance fails for low-frequency, high-consequence failure modes (pressure vessel burst, piping rupture, storage tank floor collapse) because there isn't enough historical failure data to train a model. Physics-based AI solves this by simulating degradation using engineering mechanics — corrosion allowance calculation (API 579), creep life assessment (API 579 Part 10), fatigue cycle counting (ASME VIII), fracture mechanics (CTOD, J-integral).</w:t>
      </w:r>
    </w:p>
    <w:p>
      <w:pPr>
        <w:spacing w:after="80" w:before="80"/>
        <w:jc w:val="left"/>
      </w:pPr>
      <w:r>
        <w:rPr>
          <w:rFonts w:ascii="Arial" w:cs="Arial" w:eastAsia="Arial" w:hAnsi="Arial"/>
          <w:b w:val="false"/>
          <w:bCs w:val="false"/>
          <w:color w:val="334155"/>
          <w:sz w:val="22"/>
          <w:szCs w:val="22"/>
        </w:rPr>
        <w:t xml:space="preserve">The output is a remaining life calculation and fitness-for-service (FFS) assessment that can defer expensive replacements by demonstrating the asset is still within safe operating limits — even if it has exceeded original design life. This is directly linked to Excellence's RBI module and generates a powerful ROI argument: deferring one pressure vessel replacement at an oil refinery can save $2–10M.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64748B"/>
                <w:sz w:val="20"/>
                <w:szCs w:val="20"/>
              </w:rPr>
              <w:t xml:space="preserve">Standards</w:t>
            </w:r>
          </w:p>
        </w:tc>
        <w:tc>
          <w:tcPr>
            <w:tcW w:type="dxa" w:w="6826"/>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4155"/>
                <w:sz w:val="22"/>
                <w:szCs w:val="22"/>
              </w:rPr>
              <w:t xml:space="preserve">API 579-1/ASME FFS-1, API 510/570/653, ASME B31.8</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64748B"/>
                <w:sz w:val="20"/>
                <w:szCs w:val="20"/>
              </w:rPr>
              <w:t xml:space="preserve">Tech approach</w:t>
            </w:r>
          </w:p>
        </w:tc>
        <w:tc>
          <w:tcPr>
            <w:tcW w:type="dxa" w:w="6826"/>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4155"/>
                <w:sz w:val="22"/>
                <w:szCs w:val="22"/>
              </w:rPr>
              <w:t xml:space="preserve">Python solver backend (scipy, FEniCS for FEA), integrated with Excellence RBI data feed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64748B"/>
                <w:sz w:val="20"/>
                <w:szCs w:val="20"/>
              </w:rPr>
              <w:t xml:space="preserve">Target</w:t>
            </w:r>
          </w:p>
        </w:tc>
        <w:tc>
          <w:tcPr>
            <w:tcW w:type="dxa" w:w="6826"/>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4155"/>
                <w:sz w:val="22"/>
                <w:szCs w:val="22"/>
              </w:rPr>
              <w:t xml:space="preserve">Refineries, petrochemical plants, large gas processing facilities</w:t>
            </w:r>
          </w:p>
        </w:tc>
      </w:tr>
    </w:tbl>
    <w:p>
      <w:pPr>
        <w:spacing w:after="0" w:before="120"/>
        <w:jc w:val="left"/>
      </w:pPr>
      <w:r>
        <w:rPr>
          <w:rFonts w:ascii="Arial" w:cs="Arial" w:eastAsia="Arial" w:hAnsi="Arial"/>
          <w:b w:val="false"/>
          <w:bCs w:val="false"/>
          <w:color w:val="334155"/>
          <w:sz w:val="22"/>
          <w:szCs w:val="22"/>
        </w:rPr>
        <w:t xml:space="preserve"/>
      </w:r>
    </w:p>
    <w:p>
      <w:pPr>
        <w:pStyle w:val="Heading2"/>
        <w:pBdr>
          <w:bottom w:val="single" w:color="003478" w:sz="8" w:space="4"/>
        </w:pBdr>
        <w:spacing w:after="100" w:before="280"/>
      </w:pPr>
      <w:r>
        <w:rPr>
          <w:rFonts w:ascii="Arial" w:cs="Arial" w:eastAsia="Arial" w:hAnsi="Arial"/>
          <w:b/>
          <w:bCs/>
          <w:color w:val="003478"/>
          <w:sz w:val="28"/>
          <w:szCs w:val="28"/>
        </w:rPr>
        <w:t xml:space="preserve">TIER 3 — New Vertical Modules (New Markets)</w:t>
      </w:r>
    </w:p>
    <w:p>
      <w:pPr>
        <w:spacing w:after="120" w:before="80"/>
        <w:jc w:val="left"/>
      </w:pPr>
      <w:r>
        <w:rPr>
          <w:rFonts w:ascii="Arial" w:cs="Arial" w:eastAsia="Arial" w:hAnsi="Arial"/>
          <w:b w:val="false"/>
          <w:bCs w:val="false"/>
          <w:color w:val="64748B"/>
          <w:sz w:val="22"/>
          <w:szCs w:val="22"/>
        </w:rPr>
        <w:t xml:space="preserve">Purpose-built versions of Excellence for specific industries currently underserved.</w:t>
      </w:r>
    </w:p>
    <w:p>
      <w:pPr>
        <w:pStyle w:val="Heading3"/>
        <w:spacing w:after="80" w:before="200"/>
      </w:pPr>
      <w:r>
        <w:rPr>
          <w:rFonts w:ascii="Arial" w:cs="Arial" w:eastAsia="Arial" w:hAnsi="Arial"/>
          <w:b/>
          <w:bCs/>
          <w:color w:val="334155"/>
          <w:sz w:val="24"/>
          <w:szCs w:val="24"/>
        </w:rPr>
        <w:t xml:space="preserve">3.1  Excellence for Geothermal</w:t>
      </w:r>
    </w:p>
    <w:p>
      <w:pPr>
        <w:spacing w:after="80" w:before="80"/>
        <w:jc w:val="left"/>
      </w:pPr>
      <w:r>
        <w:rPr>
          <w:rFonts w:ascii="Arial" w:cs="Arial" w:eastAsia="Arial" w:hAnsi="Arial"/>
          <w:b w:val="false"/>
          <w:bCs w:val="false"/>
          <w:color w:val="334155"/>
          <w:sz w:val="22"/>
          <w:szCs w:val="22"/>
        </w:rPr>
        <w:t xml:space="preserve">A vertical module extending Excellence with geothermal-specific asset types and monitoring: wellhead integrity (casing/tubing/packer), brine scaling and corrosion prediction (H2S, CO2, chlorides), steam quality monitoring, LP/HP turbine health, ESDM compliance reporting. GeoDipa is already in the Catalyst scraper pipeline — natural entry point.</w:t>
      </w:r>
    </w:p>
    <w:p>
      <w:pPr>
        <w:pStyle w:val="Heading3"/>
        <w:spacing w:after="80" w:before="200"/>
      </w:pPr>
      <w:r>
        <w:rPr>
          <w:rFonts w:ascii="Arial" w:cs="Arial" w:eastAsia="Arial" w:hAnsi="Arial"/>
          <w:b/>
          <w:bCs/>
          <w:color w:val="334155"/>
          <w:sz w:val="24"/>
          <w:szCs w:val="24"/>
        </w:rPr>
        <w:t xml:space="preserve">3.2  Excellence for Mining / Smelter</w:t>
      </w:r>
    </w:p>
    <w:p>
      <w:pPr>
        <w:spacing w:after="80" w:before="80"/>
        <w:jc w:val="left"/>
      </w:pPr>
      <w:r>
        <w:rPr>
          <w:rFonts w:ascii="Arial" w:cs="Arial" w:eastAsia="Arial" w:hAnsi="Arial"/>
          <w:b w:val="false"/>
          <w:bCs w:val="false"/>
          <w:color w:val="334155"/>
          <w:sz w:val="22"/>
          <w:szCs w:val="22"/>
        </w:rPr>
        <w:t xml:space="preserve">HPAL plant and ferronickel smelter-specific module: conveyor and crusher condition monitoring, autoclave integrity (extreme temperature/pressure), RKAB compliance tracking, ESG emission monitoring per equipment (critical for EU supply chain). Target: IMIP Industrial Park (Morowali), Weda Bay, PT Vale.</w:t>
      </w:r>
    </w:p>
    <w:p>
      <w:pPr>
        <w:pStyle w:val="Heading3"/>
        <w:spacing w:after="80" w:before="200"/>
      </w:pPr>
      <w:r>
        <w:rPr>
          <w:rFonts w:ascii="Arial" w:cs="Arial" w:eastAsia="Arial" w:hAnsi="Arial"/>
          <w:b/>
          <w:bCs/>
          <w:color w:val="334155"/>
          <w:sz w:val="24"/>
          <w:szCs w:val="24"/>
        </w:rPr>
        <w:t xml:space="preserve">3.3  Satellite HSSE Early Warning System</w:t>
      </w:r>
    </w:p>
    <w:p>
      <w:pPr>
        <w:spacing w:after="80" w:before="80"/>
        <w:jc w:val="left"/>
      </w:pPr>
      <w:r>
        <w:rPr>
          <w:rFonts w:ascii="Arial" w:cs="Arial" w:eastAsia="Arial" w:hAnsi="Arial"/>
          <w:b w:val="false"/>
          <w:bCs w:val="false"/>
          <w:color w:val="334155"/>
          <w:sz w:val="22"/>
          <w:szCs w:val="22"/>
        </w:rPr>
        <w:t xml:space="preserve">TROPOMI satellite data (free, ESA) provides methane column measurements at 5.5 × 3.5 km resolution updated daily. Overlay this with the Excellence asset register (GPS coordinates of all facilities) to create an early warning layer: methane anomaly detected near an identified asset → Xellena agent correlates with process data → alert generated in Excellence SECE module.</w:t>
      </w:r>
    </w:p>
    <w:p>
      <w:pPr>
        <w:spacing w:after="80" w:before="80"/>
        <w:jc w:val="left"/>
      </w:pPr>
      <w:r>
        <w:rPr>
          <w:rFonts w:ascii="Arial" w:cs="Arial" w:eastAsia="Arial" w:hAnsi="Arial"/>
          <w:b w:val="false"/>
          <w:bCs w:val="false"/>
          <w:color w:val="334155"/>
          <w:sz w:val="22"/>
          <w:szCs w:val="22"/>
        </w:rPr>
        <w:t xml:space="preserve">Free tier: TROPOMI + Google Earth Engine (GEE) — zero marginal cost. Upsell: commercial satellite data (Planet Labs, GHGSat, Satellogic) for high-resolution confirmation at $0.5–2/km² per image.</w:t>
      </w:r>
    </w:p>
    <w:p>
      <w:pPr>
        <w:pStyle w:val="Heading3"/>
        <w:spacing w:after="80" w:before="200"/>
      </w:pPr>
      <w:r>
        <w:rPr>
          <w:rFonts w:ascii="Arial" w:cs="Arial" w:eastAsia="Arial" w:hAnsi="Arial"/>
          <w:b/>
          <w:bCs/>
          <w:color w:val="334155"/>
          <w:sz w:val="24"/>
          <w:szCs w:val="24"/>
        </w:rPr>
        <w:t xml:space="preserve">3.4  CMMS Intelligence Bridge</w:t>
      </w:r>
    </w:p>
    <w:p>
      <w:pPr>
        <w:spacing w:after="80" w:before="80"/>
        <w:jc w:val="left"/>
      </w:pPr>
      <w:r>
        <w:rPr>
          <w:rFonts w:ascii="Arial" w:cs="Arial" w:eastAsia="Arial" w:hAnsi="Arial"/>
          <w:b w:val="false"/>
          <w:bCs w:val="false"/>
          <w:color w:val="334155"/>
          <w:sz w:val="22"/>
          <w:szCs w:val="22"/>
        </w:rPr>
        <w:t xml:space="preserve">Many large clients already have SAP PM or IBM Maximo deployed — they will not replace these systems. The CMMS Intelligence Bridge positions Excellence as the "analysis and intelligence layer" that sits on top of existing CMMS, pulling work order history and equipment data for reliability analysis, then pushing recommendations back as work order drafts. No rip-and-replace required — dramatically lower sales barrier for enterprise accounts.</w:t>
      </w:r>
    </w:p>
    <w:p>
      <w:pPr>
        <w:pStyle w:val="Heading2"/>
        <w:pBdr>
          <w:bottom w:val="single" w:color="003478" w:sz="8" w:space="4"/>
        </w:pBdr>
        <w:spacing w:after="100" w:before="280"/>
      </w:pPr>
      <w:r>
        <w:rPr>
          <w:rFonts w:ascii="Arial" w:cs="Arial" w:eastAsia="Arial" w:hAnsi="Arial"/>
          <w:b/>
          <w:bCs/>
          <w:color w:val="003478"/>
          <w:sz w:val="28"/>
          <w:szCs w:val="28"/>
        </w:rPr>
        <w:t xml:space="preserve">TIER 4 — Moonshot (2–3 Year Horizon)</w:t>
      </w:r>
    </w:p>
    <w:p>
      <w:pPr>
        <w:pStyle w:val="Heading3"/>
        <w:spacing w:after="80" w:before="200"/>
      </w:pPr>
      <w:r>
        <w:rPr>
          <w:rFonts w:ascii="Arial" w:cs="Arial" w:eastAsia="Arial" w:hAnsi="Arial"/>
          <w:b/>
          <w:bCs/>
          <w:color w:val="334155"/>
          <w:sz w:val="24"/>
          <w:szCs w:val="24"/>
        </w:rPr>
        <w:t xml:space="preserve">4.1  Autonomous Inspection Drone Integration</w:t>
      </w:r>
    </w:p>
    <w:p>
      <w:pPr>
        <w:spacing w:after="80" w:before="80"/>
        <w:jc w:val="left"/>
      </w:pPr>
      <w:r>
        <w:rPr>
          <w:rFonts w:ascii="Arial" w:cs="Arial" w:eastAsia="Arial" w:hAnsi="Arial"/>
          <w:b w:val="false"/>
          <w:bCs w:val="false"/>
          <w:color w:val="334155"/>
          <w:sz w:val="22"/>
          <w:szCs w:val="22"/>
        </w:rPr>
        <w:t xml:space="preserve">RBI module generates inspection plan → API call to DJI Enterprise/Percepto drone fleet management → drone executes route, captures imagery → computer vision classifies defects → results auto-populate Excellence inspection records and trigger RBI re-assessment. CRI does not need to build the drone — integrate to existing drone fleet management APIs.</w:t>
      </w:r>
    </w:p>
    <w:p>
      <w:pPr>
        <w:pStyle w:val="Heading3"/>
        <w:spacing w:after="80" w:before="200"/>
      </w:pPr>
      <w:r>
        <w:rPr>
          <w:rFonts w:ascii="Arial" w:cs="Arial" w:eastAsia="Arial" w:hAnsi="Arial"/>
          <w:b/>
          <w:bCs/>
          <w:color w:val="334155"/>
          <w:sz w:val="24"/>
          <w:szCs w:val="24"/>
        </w:rPr>
        <w:t xml:space="preserve">4.2  Excellence Cloud SaaS — SME Market</w:t>
      </w:r>
    </w:p>
    <w:p>
      <w:pPr>
        <w:spacing w:after="80" w:before="80"/>
        <w:jc w:val="left"/>
      </w:pPr>
      <w:r>
        <w:rPr>
          <w:rFonts w:ascii="Arial" w:cs="Arial" w:eastAsia="Arial" w:hAnsi="Arial"/>
          <w:b w:val="false"/>
          <w:bCs w:val="false"/>
          <w:color w:val="334155"/>
          <w:sz w:val="22"/>
          <w:szCs w:val="22"/>
        </w:rPr>
        <w:t xml:space="preserve">Multi-tenant, self-service Excellence for mid-market operators (20–500 assets) who cannot afford full SI-led implementation. Pricing: $500–2,000/month subscription. Onboarding: self-service with Xellena-guided setup. This is the SaaS flywheel that scales CRI beyond project-based revenue into recurring revenue.</w:t>
      </w:r>
    </w:p>
    <w:p>
      <w:pPr>
        <w:spacing w:after="0" w:before="80"/>
        <w:jc w:val="left"/>
      </w:pPr>
      <w:r>
        <w:rPr>
          <w:rFonts w:ascii="Arial" w:cs="Arial" w:eastAsia="Arial" w:hAnsi="Arial"/>
          <w:b w:val="false"/>
          <w:bCs w:val="false"/>
          <w:color w:val="334155"/>
          <w:sz w:val="22"/>
          <w:szCs w:val="22"/>
        </w:rPr>
        <w:t xml:space="preserve"/>
      </w:r>
    </w:p>
    <w:p>
      <w:r>
        <w:br w:type="page"/>
      </w:r>
    </w:p>
    <w:p>
      <w:pPr>
        <w:pStyle w:val="Heading1"/>
        <w:shd w:fill="003478" w:val="clear"/>
        <w:spacing w:after="120" w:before="360"/>
        <w:ind w:left="200" w:right="200"/>
      </w:pPr>
      <w:r>
        <w:rPr>
          <w:rFonts w:ascii="Arial" w:cs="Arial" w:eastAsia="Arial" w:hAnsi="Arial"/>
          <w:b/>
          <w:bCs/>
          <w:color w:val="FFFFFF"/>
          <w:sz w:val="36"/>
          <w:szCs w:val="36"/>
        </w:rPr>
        <w:t xml:space="preserve">05  How the Industrial System Works — The Decision Funnel</w:t>
      </w:r>
    </w:p>
    <w:p>
      <w:pPr>
        <w:spacing w:after="0" w:before="80"/>
        <w:jc w:val="left"/>
      </w:pPr>
      <w:r>
        <w:rPr>
          <w:rFonts w:ascii="Arial" w:cs="Arial" w:eastAsia="Arial" w:hAnsi="Arial"/>
          <w:b w:val="false"/>
          <w:bCs w:val="false"/>
          <w:color w:val="334155"/>
          <w:sz w:val="22"/>
          <w:szCs w:val="22"/>
        </w:rPr>
        <w:t xml:space="preserve"/>
      </w:r>
    </w:p>
    <w:p>
      <w:pPr>
        <w:spacing w:after="80" w:before="80"/>
        <w:jc w:val="left"/>
      </w:pPr>
      <w:r>
        <w:rPr>
          <w:rFonts w:ascii="Arial" w:cs="Arial" w:eastAsia="Arial" w:hAnsi="Arial"/>
          <w:b w:val="false"/>
          <w:bCs w:val="false"/>
          <w:color w:val="334155"/>
          <w:sz w:val="22"/>
          <w:szCs w:val="22"/>
        </w:rPr>
        <w:t xml:space="preserve">Understanding the decision-making hierarchy in industrial clients is essential for sales strategy, product prioritization, and feature design. The wrong features pitched to the wrong level will kill a deal regardless of product quality.</w:t>
      </w:r>
    </w:p>
    <w:p>
      <w:pPr>
        <w:pStyle w:val="Heading2"/>
        <w:pBdr>
          <w:bottom w:val="single" w:color="003478" w:sz="8" w:space="4"/>
        </w:pBdr>
        <w:spacing w:after="100" w:before="280"/>
      </w:pPr>
      <w:r>
        <w:rPr>
          <w:rFonts w:ascii="Arial" w:cs="Arial" w:eastAsia="Arial" w:hAnsi="Arial"/>
          <w:b/>
          <w:bCs/>
          <w:color w:val="003478"/>
          <w:sz w:val="28"/>
          <w:szCs w:val="28"/>
        </w:rPr>
        <w:t xml:space="preserve">5.1  The Five-Layer Decision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003478" w:sz="1"/>
              <w:left w:val="single" w:color="003478" w:sz="1"/>
              <w:bottom w:val="single" w:color="003478" w:sz="1"/>
              <w:right w:val="single" w:color="003478" w:sz="1"/>
            </w:tcBorders>
            <w:shd w:fill="003478"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000"/>
            <w:tcBorders>
              <w:top w:val="single" w:color="003478" w:sz="1"/>
              <w:left w:val="single" w:color="003478" w:sz="1"/>
              <w:bottom w:val="single" w:color="003478" w:sz="1"/>
              <w:right w:val="single" w:color="003478" w:sz="1"/>
            </w:tcBorders>
            <w:shd w:fill="003478" w:val="clear"/>
            <w:tcMar>
              <w:top w:type="dxa" w:w="100"/>
              <w:left w:type="dxa" w:w="140"/>
              <w:bottom w:type="dxa" w:w="100"/>
              <w:right w:type="dxa" w:w="140"/>
            </w:tcMar>
          </w:tcPr>
          <w:p>
            <w:r>
              <w:rPr>
                <w:rFonts w:ascii="Arial" w:cs="Arial" w:eastAsia="Arial" w:hAnsi="Arial"/>
                <w:b/>
                <w:bCs/>
                <w:color w:val="FFFFFF"/>
                <w:sz w:val="20"/>
                <w:szCs w:val="20"/>
              </w:rPr>
              <w:t xml:space="preserve">What They Care About</w:t>
            </w:r>
          </w:p>
        </w:tc>
        <w:tc>
          <w:tcPr>
            <w:tcW w:type="dxa" w:w="3826"/>
            <w:tcBorders>
              <w:top w:val="single" w:color="003478" w:sz="1"/>
              <w:left w:val="single" w:color="003478" w:sz="1"/>
              <w:bottom w:val="single" w:color="003478" w:sz="1"/>
              <w:right w:val="single" w:color="003478" w:sz="1"/>
            </w:tcBorders>
            <w:shd w:fill="003478" w:val="clear"/>
            <w:tcMar>
              <w:top w:type="dxa" w:w="100"/>
              <w:left w:type="dxa" w:w="140"/>
              <w:bottom w:type="dxa" w:w="100"/>
              <w:right w:type="dxa" w:w="140"/>
            </w:tcMar>
          </w:tcPr>
          <w:p>
            <w:r>
              <w:rPr>
                <w:rFonts w:ascii="Arial" w:cs="Arial" w:eastAsia="Arial" w:hAnsi="Arial"/>
                <w:b/>
                <w:bCs/>
                <w:color w:val="FFFFFF"/>
                <w:sz w:val="20"/>
                <w:szCs w:val="20"/>
              </w:rPr>
              <w:t xml:space="preserve">CRI Products That Serve Them</w:t>
            </w:r>
          </w:p>
        </w:tc>
      </w:tr>
      <w:tr>
        <w:tc>
          <w:tcPr>
            <w:tcW w:type="dxa" w:w="22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L1 — C-Suite / Board</w:t>
            </w:r>
          </w:p>
        </w:tc>
        <w:tc>
          <w:tcPr>
            <w:tcW w:type="dxa" w:w="30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Risk exposure, regulatory penalty, capital efficiency, ESG reputation</w:t>
            </w:r>
          </w:p>
        </w:tc>
        <w:tc>
          <w:tcPr>
            <w:tcW w:type="dxa" w:w="3826"/>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Excellence AIRMS dashboard, Carbon/ESG Module — board-level risk summary</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L2 — VP Asset Integrity / Reliability Mgr</w:t>
            </w:r>
          </w:p>
        </w:tc>
        <w:tc>
          <w:tcPr>
            <w:tcW w:type="dxa" w:w="30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KPI achievement (MTBF, availability, OEE), turnaround cost, compliance reporting</w:t>
            </w:r>
          </w:p>
        </w:tc>
        <w:tc>
          <w:tcPr>
            <w:tcW w:type="dxa" w:w="3826"/>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Full Excellence suite, Turnaround Module, Xellena advisory</w:t>
            </w:r>
          </w:p>
        </w:tc>
      </w:tr>
      <w:tr>
        <w:tc>
          <w:tcPr>
            <w:tcW w:type="dxa" w:w="2200"/>
            <w:tcBorders>
              <w:top w:val="single" w:color="CBD5E1" w:sz="1"/>
              <w:left w:val="single" w:color="CBD5E1" w:sz="1"/>
              <w:bottom w:val="single" w:color="CBD5E1" w:sz="1"/>
              <w:right w:val="single" w:color="CBD5E1" w:sz="1"/>
            </w:tcBorders>
            <w:shd w:fill="CCFBF1"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L3 — Reliability / Inspection Engineers</w:t>
            </w:r>
          </w:p>
        </w:tc>
        <w:tc>
          <w:tcPr>
            <w:tcW w:type="dxa" w:w="3000"/>
            <w:tcBorders>
              <w:top w:val="single" w:color="CBD5E1" w:sz="1"/>
              <w:left w:val="single" w:color="CBD5E1" w:sz="1"/>
              <w:bottom w:val="single" w:color="CBD5E1" w:sz="1"/>
              <w:right w:val="single" w:color="CBD5E1" w:sz="1"/>
            </w:tcBorders>
            <w:shd w:fill="CCFBF1"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Finding critical equipment, building defensible inspection plans, analyzing failures</w:t>
            </w:r>
          </w:p>
        </w:tc>
        <w:tc>
          <w:tcPr>
            <w:tcW w:type="dxa" w:w="3826"/>
            <w:tcBorders>
              <w:top w:val="single" w:color="CBD5E1" w:sz="1"/>
              <w:left w:val="single" w:color="CBD5E1" w:sz="1"/>
              <w:bottom w:val="single" w:color="CBD5E1" w:sz="1"/>
              <w:right w:val="single" w:color="CBD5E1" w:sz="1"/>
            </w:tcBorders>
            <w:shd w:fill="CCFBF1"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RBI, FMEA, RCM, RCFA modules + Xellena AI + Inspector Pro app</w:t>
            </w:r>
          </w:p>
        </w:tc>
      </w:tr>
      <w:tr>
        <w:tc>
          <w:tcPr>
            <w:tcW w:type="dxa" w:w="22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L4 — Maintenance Planner / Technician</w:t>
            </w:r>
          </w:p>
        </w:tc>
        <w:tc>
          <w:tcPr>
            <w:tcW w:type="dxa" w:w="30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Right work at the right time with right parts and right skills</w:t>
            </w:r>
          </w:p>
        </w:tc>
        <w:tc>
          <w:tcPr>
            <w:tcW w:type="dxa" w:w="3826"/>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Work Order module, ITPM schedule, Xellena WO auto-generation, Edge Box alerts</w:t>
            </w:r>
          </w:p>
        </w:tc>
      </w:tr>
      <w:tr>
        <w:tc>
          <w:tcPr>
            <w:tcW w:type="dxa" w:w="2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L5 — Physical Assets + Field Sensors</w:t>
            </w:r>
          </w:p>
        </w:tc>
        <w:tc>
          <w:tcPr>
            <w:tcW w:type="dxa" w:w="30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Continuous telemetry, anomaly signals, inspection evidence</w:t>
            </w:r>
          </w:p>
        </w:tc>
        <w:tc>
          <w:tcPr>
            <w:tcW w:type="dxa" w:w="3826"/>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Edge Intelligence Box, MQTT/OPC-UA integration, Inspector Pro camera AI</w:t>
            </w:r>
          </w:p>
        </w:tc>
      </w:tr>
    </w:tbl>
    <w:p>
      <w:pPr>
        <w:spacing w:after="0" w:before="80"/>
        <w:jc w:val="left"/>
      </w:pPr>
      <w:r>
        <w:rPr>
          <w:rFonts w:ascii="Arial" w:cs="Arial" w:eastAsia="Arial" w:hAnsi="Arial"/>
          <w:b w:val="false"/>
          <w:bCs w:val="false"/>
          <w:color w:val="334155"/>
          <w:sz w:val="22"/>
          <w:szCs w:val="22"/>
        </w:rPr>
        <w:t xml:space="preserve"/>
      </w:r>
    </w:p>
    <w:p>
      <w:pPr>
        <w:pStyle w:val="Heading2"/>
        <w:pBdr>
          <w:bottom w:val="single" w:color="003478" w:sz="8" w:space="4"/>
        </w:pBdr>
        <w:spacing w:after="100" w:before="280"/>
      </w:pPr>
      <w:r>
        <w:rPr>
          <w:rFonts w:ascii="Arial" w:cs="Arial" w:eastAsia="Arial" w:hAnsi="Arial"/>
          <w:b/>
          <w:bCs/>
          <w:color w:val="003478"/>
          <w:sz w:val="28"/>
          <w:szCs w:val="28"/>
        </w:rPr>
        <w:t xml:space="preserve">5.2  The Selling Strategy: Champion at L3, Sign at L2, Approve at L1</w:t>
      </w:r>
    </w:p>
    <w:p>
      <w:pPr>
        <w:spacing w:after="80" w:before="80"/>
        <w:jc w:val="left"/>
      </w:pPr>
      <w:r>
        <w:rPr>
          <w:rFonts w:ascii="Arial" w:cs="Arial" w:eastAsia="Arial" w:hAnsi="Arial"/>
          <w:b w:val="false"/>
          <w:bCs w:val="false"/>
          <w:color w:val="334155"/>
          <w:sz w:val="22"/>
          <w:szCs w:val="22"/>
        </w:rPr>
        <w:t xml:space="preserve">The most effective go-to-market motion for industrial software is bottom-up championing. Reliability engineers (L3) feel the pain daily — they're the ones writing FMEA worksheets manually, hunting for inspection records across multiple systems, and defending maintenance decisions to management without good data. They become advocates.</w:t>
      </w:r>
    </w:p>
    <w:p>
      <w:pPr>
        <w:spacing w:after="80" w:before="80"/>
        <w:jc w:val="left"/>
      </w:pPr>
      <w:r>
        <w:rPr>
          <w:rFonts w:ascii="Arial" w:cs="Arial" w:eastAsia="Arial" w:hAnsi="Arial"/>
          <w:b w:val="false"/>
          <w:bCs w:val="false"/>
          <w:color w:val="334155"/>
          <w:sz w:val="22"/>
          <w:szCs w:val="22"/>
        </w:rPr>
        <w:t xml:space="preserve">But they cannot approve budget. The VP or Reliability Manager (L2) controls the software budget line. Pitch to L3, present ROI to L2. The C-suite (L1) approves capital expenditure over a threshold — for them, the argument is regulatory compliance and reputational risk, not feature lists.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single" w:color="003478" w:sz="1"/>
              <w:left w:val="single" w:color="003478" w:sz="1"/>
              <w:bottom w:val="single" w:color="003478" w:sz="1"/>
              <w:right w:val="single" w:color="003478" w:sz="1"/>
            </w:tcBorders>
            <w:shd w:fill="DBEAFE" w:val="clear"/>
            <w:tcMar>
              <w:top w:type="dxa" w:w="80"/>
              <w:left w:type="dxa" w:w="160"/>
              <w:bottom w:type="dxa" w:w="40"/>
              <w:right w:type="dxa" w:w="160"/>
            </w:tcMar>
          </w:tcPr>
          <w:p>
            <w:r>
              <w:rPr>
                <w:rFonts w:ascii="Arial" w:cs="Arial" w:eastAsia="Arial" w:hAnsi="Arial"/>
                <w:b/>
                <w:bCs/>
                <w:color w:val="003478"/>
                <w:sz w:val="18"/>
                <w:szCs w:val="18"/>
              </w:rPr>
              <w:t xml:space="preserve">SALES STRATEGY NOTE</w:t>
            </w:r>
          </w:p>
        </w:tc>
      </w:tr>
      <w:tr>
        <w:tc>
          <w:tcPr>
            <w:tcBorders>
              <w:top w:val="single" w:color="003478" w:sz="1"/>
              <w:left w:val="single" w:color="003478" w:sz="1"/>
              <w:bottom w:val="single" w:color="003478" w:sz="1"/>
              <w:right w:val="single" w:color="003478" w:sz="1"/>
            </w:tcBorders>
            <w:shd w:fill="DBEAFE" w:val="clear"/>
            <w:tcMar>
              <w:top w:type="dxa" w:w="80"/>
              <w:left w:type="dxa" w:w="160"/>
              <w:bottom w:type="dxa" w:w="80"/>
              <w:right w:type="dxa" w:w="160"/>
            </w:tcMar>
          </w:tcPr>
          <w:p>
            <w:pPr>
              <w:spacing w:after="0" w:before="0"/>
            </w:pPr>
            <w:r>
              <w:rPr>
                <w:rFonts w:ascii="Arial" w:cs="Arial" w:eastAsia="Arial" w:hAnsi="Arial"/>
                <w:color w:val="334155"/>
                <w:sz w:val="21"/>
                <w:szCs w:val="21"/>
              </w:rPr>
              <w:t xml:space="preserve">Key insight: Never pitch features to L1. Pitch risk reduction and compliance. "Excellence reduced our RBI backlog from 18 months to 6 weeks and gave us a clean audit trail for our SKK Migas inspection" is an L1 message. "The new Weibull distribution module supports 3-parameter fitting" is an L3 message.</w:t>
            </w:r>
          </w:p>
        </w:tc>
      </w:tr>
    </w:tbl>
    <w:p>
      <w:pPr>
        <w:spacing w:after="0" w:before="80"/>
        <w:jc w:val="left"/>
      </w:pPr>
      <w:r>
        <w:rPr>
          <w:rFonts w:ascii="Arial" w:cs="Arial" w:eastAsia="Arial" w:hAnsi="Arial"/>
          <w:b w:val="false"/>
          <w:bCs w:val="false"/>
          <w:color w:val="334155"/>
          <w:sz w:val="22"/>
          <w:szCs w:val="22"/>
        </w:rPr>
        <w:t xml:space="preserve"/>
      </w:r>
    </w:p>
    <w:p>
      <w:pPr>
        <w:pStyle w:val="Heading2"/>
        <w:pBdr>
          <w:bottom w:val="single" w:color="003478" w:sz="8" w:space="4"/>
        </w:pBdr>
        <w:spacing w:after="100" w:before="280"/>
      </w:pPr>
      <w:r>
        <w:rPr>
          <w:rFonts w:ascii="Arial" w:cs="Arial" w:eastAsia="Arial" w:hAnsi="Arial"/>
          <w:b/>
          <w:bCs/>
          <w:color w:val="003478"/>
          <w:sz w:val="28"/>
          <w:szCs w:val="28"/>
        </w:rPr>
        <w:t xml:space="preserve">5.3  Budget Flow and Buying Cycles</w:t>
      </w:r>
    </w:p>
    <w:p>
      <w:pPr>
        <w:pStyle w:val="ListParagraph"/>
        <w:numPr>
          <w:ilvl w:val="0"/>
          <w:numId w:val="2"/>
        </w:numPr>
        <w:spacing w:after="40" w:before="40"/>
      </w:pPr>
      <w:r>
        <w:rPr>
          <w:rFonts w:ascii="Arial" w:cs="Arial" w:eastAsia="Arial" w:hAnsi="Arial"/>
          <w:color w:val="334155"/>
          <w:sz w:val="22"/>
          <w:szCs w:val="22"/>
        </w:rPr>
        <w:t xml:space="preserve">O&amp;G: Budget cycle typically calendar year, with TA budget allocated 18–24 months in advance. Decision cycle 3–9 months for software of this complexity.</w:t>
      </w:r>
    </w:p>
    <w:p>
      <w:pPr>
        <w:pStyle w:val="ListParagraph"/>
        <w:numPr>
          <w:ilvl w:val="0"/>
          <w:numId w:val="2"/>
        </w:numPr>
        <w:spacing w:after="40" w:before="40"/>
      </w:pPr>
      <w:r>
        <w:rPr>
          <w:rFonts w:ascii="Arial" w:cs="Arial" w:eastAsia="Arial" w:hAnsi="Arial"/>
          <w:color w:val="334155"/>
          <w:sz w:val="22"/>
          <w:szCs w:val="22"/>
        </w:rPr>
        <w:t xml:space="preserve">Mining: RKAB (annual work plan) approval drives budget. New regulations in 2026 move to annual RKAB review — this creates a buying window every year.</w:t>
      </w:r>
    </w:p>
    <w:p>
      <w:pPr>
        <w:pStyle w:val="ListParagraph"/>
        <w:numPr>
          <w:ilvl w:val="0"/>
          <w:numId w:val="2"/>
        </w:numPr>
        <w:spacing w:after="40" w:before="40"/>
      </w:pPr>
      <w:r>
        <w:rPr>
          <w:rFonts w:ascii="Arial" w:cs="Arial" w:eastAsia="Arial" w:hAnsi="Arial"/>
          <w:color w:val="334155"/>
          <w:sz w:val="22"/>
          <w:szCs w:val="22"/>
        </w:rPr>
        <w:t xml:space="preserve">Geothermal: PLN's 5-year RUPTL planning cycle + project-specific CapEx for new plant builds (shorter cycle).</w:t>
      </w:r>
    </w:p>
    <w:p>
      <w:pPr>
        <w:pStyle w:val="ListParagraph"/>
        <w:numPr>
          <w:ilvl w:val="0"/>
          <w:numId w:val="2"/>
        </w:numPr>
        <w:spacing w:after="40" w:before="40"/>
      </w:pPr>
      <w:r>
        <w:rPr>
          <w:rFonts w:ascii="Arial" w:cs="Arial" w:eastAsia="Arial" w:hAnsi="Arial"/>
          <w:color w:val="334155"/>
          <w:sz w:val="22"/>
          <w:szCs w:val="22"/>
        </w:rPr>
        <w:t xml:space="preserve">Power Plants: PLN procurement follows government budget cycle. Independent Power Producers (IPP) have more flexibility.</w:t>
      </w:r>
    </w:p>
    <w:p>
      <w:pPr>
        <w:spacing w:after="0" w:before="80"/>
        <w:jc w:val="left"/>
      </w:pPr>
      <w:r>
        <w:rPr>
          <w:rFonts w:ascii="Arial" w:cs="Arial" w:eastAsia="Arial" w:hAnsi="Arial"/>
          <w:b w:val="false"/>
          <w:bCs w:val="false"/>
          <w:color w:val="334155"/>
          <w:sz w:val="22"/>
          <w:szCs w:val="22"/>
        </w:rPr>
        <w:t xml:space="preserve"/>
      </w:r>
    </w:p>
    <w:p>
      <w:pPr>
        <w:pStyle w:val="Heading2"/>
        <w:pBdr>
          <w:bottom w:val="single" w:color="003478" w:sz="8" w:space="4"/>
        </w:pBdr>
        <w:spacing w:after="100" w:before="280"/>
      </w:pPr>
      <w:r>
        <w:rPr>
          <w:rFonts w:ascii="Arial" w:cs="Arial" w:eastAsia="Arial" w:hAnsi="Arial"/>
          <w:b/>
          <w:bCs/>
          <w:color w:val="003478"/>
          <w:sz w:val="28"/>
          <w:szCs w:val="28"/>
        </w:rPr>
        <w:t xml:space="preserve">5.4  The Top Funnel vs. Bottom Funnel Framework</w:t>
      </w:r>
    </w:p>
    <w:p>
      <w:pPr>
        <w:pStyle w:val="Heading3"/>
        <w:spacing w:after="80" w:before="200"/>
      </w:pPr>
      <w:r>
        <w:rPr>
          <w:rFonts w:ascii="Arial" w:cs="Arial" w:eastAsia="Arial" w:hAnsi="Arial"/>
          <w:b/>
          <w:bCs/>
          <w:color w:val="334155"/>
          <w:sz w:val="24"/>
          <w:szCs w:val="24"/>
        </w:rPr>
        <w:t xml:space="preserve">Top of funnel — awareness and entry (low friction, high volume)</w:t>
      </w:r>
    </w:p>
    <w:p>
      <w:pPr>
        <w:pStyle w:val="ListParagraph"/>
        <w:numPr>
          <w:ilvl w:val="0"/>
          <w:numId w:val="2"/>
        </w:numPr>
        <w:spacing w:after="40" w:before="40"/>
      </w:pPr>
      <w:r>
        <w:rPr>
          <w:rFonts w:ascii="Arial" w:cs="Arial" w:eastAsia="Arial" w:hAnsi="Arial"/>
          <w:color w:val="334155"/>
          <w:sz w:val="22"/>
          <w:szCs w:val="22"/>
        </w:rPr>
        <w:t xml:space="preserve">Free TROPOMI satellite HSSE monitoring layer — any company can sign up, zero commitment</w:t>
      </w:r>
    </w:p>
    <w:p>
      <w:pPr>
        <w:pStyle w:val="ListParagraph"/>
        <w:numPr>
          <w:ilvl w:val="0"/>
          <w:numId w:val="2"/>
        </w:numPr>
        <w:spacing w:after="40" w:before="40"/>
      </w:pPr>
      <w:r>
        <w:rPr>
          <w:rFonts w:ascii="Arial" w:cs="Arial" w:eastAsia="Arial" w:hAnsi="Arial"/>
          <w:color w:val="334155"/>
          <w:sz w:val="22"/>
          <w:szCs w:val="22"/>
        </w:rPr>
        <w:t xml:space="preserve">Inspector Pro free tier — field app with basic photo capture, no Excellence required</w:t>
      </w:r>
    </w:p>
    <w:p>
      <w:pPr>
        <w:pStyle w:val="ListParagraph"/>
        <w:numPr>
          <w:ilvl w:val="0"/>
          <w:numId w:val="2"/>
        </w:numPr>
        <w:spacing w:after="40" w:before="40"/>
      </w:pPr>
      <w:r>
        <w:rPr>
          <w:rFonts w:ascii="Arial" w:cs="Arial" w:eastAsia="Arial" w:hAnsi="Arial"/>
          <w:color w:val="334155"/>
          <w:sz w:val="22"/>
          <w:szCs w:val="22"/>
        </w:rPr>
        <w:t xml:space="preserve">Basic Asset Register (cloud) — free for &lt;100 assets, demonstrates Excellence value</w:t>
      </w:r>
    </w:p>
    <w:p>
      <w:pPr>
        <w:pStyle w:val="ListParagraph"/>
        <w:numPr>
          <w:ilvl w:val="0"/>
          <w:numId w:val="2"/>
        </w:numPr>
        <w:spacing w:after="40" w:before="40"/>
      </w:pPr>
      <w:r>
        <w:rPr>
          <w:rFonts w:ascii="Arial" w:cs="Arial" w:eastAsia="Arial" w:hAnsi="Arial"/>
          <w:color w:val="334155"/>
          <w:sz w:val="22"/>
          <w:szCs w:val="22"/>
        </w:rPr>
        <w:t xml:space="preserve">Catalyst: winning tenders more efficiently means CRI gets to demo Excellence to more potential clients</w:t>
      </w:r>
    </w:p>
    <w:p>
      <w:pPr>
        <w:pStyle w:val="Heading3"/>
        <w:spacing w:after="80" w:before="200"/>
      </w:pPr>
      <w:r>
        <w:rPr>
          <w:rFonts w:ascii="Arial" w:cs="Arial" w:eastAsia="Arial" w:hAnsi="Arial"/>
          <w:b/>
          <w:bCs/>
          <w:color w:val="334155"/>
          <w:sz w:val="24"/>
          <w:szCs w:val="24"/>
        </w:rPr>
        <w:t xml:space="preserve">Bottom of funnel — high value, high stickiness</w:t>
      </w:r>
    </w:p>
    <w:p>
      <w:pPr>
        <w:pStyle w:val="ListParagraph"/>
        <w:numPr>
          <w:ilvl w:val="0"/>
          <w:numId w:val="2"/>
        </w:numPr>
        <w:spacing w:after="40" w:before="40"/>
      </w:pPr>
      <w:r>
        <w:rPr>
          <w:rFonts w:ascii="Arial" w:cs="Arial" w:eastAsia="Arial" w:hAnsi="Arial"/>
          <w:color w:val="334155"/>
          <w:sz w:val="22"/>
          <w:szCs w:val="22"/>
        </w:rPr>
        <w:t xml:space="preserve">Digital Twin: once the twin reflects a facility's actual operational state, replacing it risks losing years of calibration data — extreme switching cost</w:t>
      </w:r>
    </w:p>
    <w:p>
      <w:pPr>
        <w:pStyle w:val="ListParagraph"/>
        <w:numPr>
          <w:ilvl w:val="0"/>
          <w:numId w:val="2"/>
        </w:numPr>
        <w:spacing w:after="40" w:before="40"/>
      </w:pPr>
      <w:r>
        <w:rPr>
          <w:rFonts w:ascii="Arial" w:cs="Arial" w:eastAsia="Arial" w:hAnsi="Arial"/>
          <w:color w:val="334155"/>
          <w:sz w:val="22"/>
          <w:szCs w:val="22"/>
        </w:rPr>
        <w:t xml:space="preserve">Turnaround Management: client entrusts their highest-cost, highest-risk operational event to the software — not replaced lightly</w:t>
      </w:r>
    </w:p>
    <w:p>
      <w:pPr>
        <w:pStyle w:val="ListParagraph"/>
        <w:numPr>
          <w:ilvl w:val="0"/>
          <w:numId w:val="2"/>
        </w:numPr>
        <w:spacing w:after="40" w:before="40"/>
      </w:pPr>
      <w:r>
        <w:rPr>
          <w:rFonts w:ascii="Arial" w:cs="Arial" w:eastAsia="Arial" w:hAnsi="Arial"/>
          <w:color w:val="334155"/>
          <w:sz w:val="22"/>
          <w:szCs w:val="22"/>
        </w:rPr>
        <w:t xml:space="preserve">Regulatory compliance engine (SECE, Well Integrity): changing the system that generates your compliance documentation creates audit risk — near-impossible to replace</w:t>
      </w:r>
    </w:p>
    <w:p>
      <w:pPr>
        <w:pStyle w:val="ListParagraph"/>
        <w:numPr>
          <w:ilvl w:val="0"/>
          <w:numId w:val="2"/>
        </w:numPr>
        <w:spacing w:after="40" w:before="40"/>
      </w:pPr>
      <w:r>
        <w:rPr>
          <w:rFonts w:ascii="Arial" w:cs="Arial" w:eastAsia="Arial" w:hAnsi="Arial"/>
          <w:color w:val="334155"/>
          <w:sz w:val="22"/>
          <w:szCs w:val="22"/>
        </w:rPr>
        <w:t xml:space="preserve">Xellena Agentic AI: as the AI learns facility-specific failure patterns and operational context, it becomes more valuable over time — and impossible to replicate in a competitor product</w:t>
      </w:r>
    </w:p>
    <w:p>
      <w:pPr>
        <w:spacing w:after="0" w:before="80"/>
        <w:jc w:val="left"/>
      </w:pPr>
      <w:r>
        <w:rPr>
          <w:rFonts w:ascii="Arial" w:cs="Arial" w:eastAsia="Arial" w:hAnsi="Arial"/>
          <w:b w:val="false"/>
          <w:bCs w:val="false"/>
          <w:color w:val="334155"/>
          <w:sz w:val="22"/>
          <w:szCs w:val="22"/>
        </w:rPr>
        <w:t xml:space="preserve"/>
      </w:r>
    </w:p>
    <w:p>
      <w:r>
        <w:br w:type="page"/>
      </w:r>
    </w:p>
    <w:p>
      <w:pPr>
        <w:pStyle w:val="Heading1"/>
        <w:shd w:fill="003478" w:val="clear"/>
        <w:spacing w:after="120" w:before="360"/>
        <w:ind w:left="200" w:right="200"/>
      </w:pPr>
      <w:r>
        <w:rPr>
          <w:rFonts w:ascii="Arial" w:cs="Arial" w:eastAsia="Arial" w:hAnsi="Arial"/>
          <w:b/>
          <w:bCs/>
          <w:color w:val="FFFFFF"/>
          <w:sz w:val="36"/>
          <w:szCs w:val="36"/>
        </w:rPr>
        <w:t xml:space="preserve">06  Recommended Product Roadmap — 18 Months</w:t>
      </w:r>
    </w:p>
    <w:p>
      <w:pPr>
        <w:spacing w:after="0" w:before="80"/>
        <w:jc w:val="left"/>
      </w:pPr>
      <w:r>
        <w:rPr>
          <w:rFonts w:ascii="Arial" w:cs="Arial" w:eastAsia="Arial" w:hAnsi="Arial"/>
          <w:b w:val="false"/>
          <w:bCs w:val="false"/>
          <w:color w:val="334155"/>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single" w:color="64748B" w:sz="1"/>
              <w:left w:val="single" w:color="64748B" w:sz="1"/>
              <w:bottom w:val="single" w:color="64748B" w:sz="1"/>
              <w:right w:val="single" w:color="64748B" w:sz="1"/>
            </w:tcBorders>
            <w:shd w:fill="F1F5F9" w:val="clear"/>
            <w:tcMar>
              <w:top w:type="dxa" w:w="80"/>
              <w:left w:type="dxa" w:w="160"/>
              <w:bottom w:type="dxa" w:w="40"/>
              <w:right w:type="dxa" w:w="160"/>
            </w:tcMar>
          </w:tcPr>
          <w:p>
            <w:r>
              <w:rPr>
                <w:rFonts w:ascii="Arial" w:cs="Arial" w:eastAsia="Arial" w:hAnsi="Arial"/>
                <w:b/>
                <w:bCs/>
                <w:color w:val="64748B"/>
                <w:sz w:val="18"/>
                <w:szCs w:val="18"/>
              </w:rPr>
              <w:t xml:space="preserve">CONSTRAINT NOTE</w:t>
            </w:r>
          </w:p>
        </w:tc>
      </w:tr>
      <w:tr>
        <w:tc>
          <w:tcPr>
            <w:tcBorders>
              <w:top w:val="single" w:color="64748B" w:sz="1"/>
              <w:left w:val="single" w:color="64748B" w:sz="1"/>
              <w:bottom w:val="single" w:color="64748B" w:sz="1"/>
              <w:right w:val="single" w:color="64748B" w:sz="1"/>
            </w:tcBorders>
            <w:shd w:fill="F1F5F9" w:val="clear"/>
            <w:tcMar>
              <w:top w:type="dxa" w:w="80"/>
              <w:left w:type="dxa" w:w="160"/>
              <w:bottom w:type="dxa" w:w="80"/>
              <w:right w:type="dxa" w:w="160"/>
            </w:tcMar>
          </w:tcPr>
          <w:p>
            <w:pPr>
              <w:spacing w:after="0" w:before="0"/>
            </w:pPr>
            <w:r>
              <w:rPr>
                <w:rFonts w:ascii="Arial" w:cs="Arial" w:eastAsia="Arial" w:hAnsi="Arial"/>
                <w:color w:val="334155"/>
                <w:sz w:val="21"/>
                <w:szCs w:val="21"/>
              </w:rPr>
              <w:t xml:space="preserve">Constraint: this roadmap assumes a small, focused team (1–3 developers including Diya) with limited dedicated capacity alongside ongoing client work. Priorities are therefore ruthlessly sequenced — not everything is on this roadmap, just what moves the needle most.</w:t>
            </w:r>
          </w:p>
        </w:tc>
      </w:tr>
    </w:tbl>
    <w:p>
      <w:pPr>
        <w:spacing w:after="0" w:before="120"/>
        <w:jc w:val="left"/>
      </w:pPr>
      <w:r>
        <w:rPr>
          <w:rFonts w:ascii="Arial" w:cs="Arial" w:eastAsia="Arial" w:hAnsi="Arial"/>
          <w:b w:val="false"/>
          <w:bCs w:val="false"/>
          <w:color w:val="334155"/>
          <w:sz w:val="22"/>
          <w:szCs w:val="22"/>
        </w:rPr>
        <w:t xml:space="preserve"/>
      </w:r>
    </w:p>
    <w:p>
      <w:pPr>
        <w:pStyle w:val="Heading2"/>
        <w:pBdr>
          <w:bottom w:val="single" w:color="003478" w:sz="8" w:space="4"/>
        </w:pBdr>
        <w:spacing w:after="100" w:before="280"/>
      </w:pPr>
      <w:r>
        <w:rPr>
          <w:rFonts w:ascii="Arial" w:cs="Arial" w:eastAsia="Arial" w:hAnsi="Arial"/>
          <w:b/>
          <w:bCs/>
          <w:color w:val="003478"/>
          <w:sz w:val="28"/>
          <w:szCs w:val="28"/>
        </w:rPr>
        <w:t xml:space="preserve">Phase 1 (Months 1–3) — Close the Loop on What Exists</w:t>
      </w:r>
    </w:p>
    <w:p>
      <w:pPr>
        <w:pStyle w:val="Heading3"/>
        <w:spacing w:after="80" w:before="200"/>
      </w:pPr>
      <w:r>
        <w:rPr>
          <w:rFonts w:ascii="Arial" w:cs="Arial" w:eastAsia="Arial" w:hAnsi="Arial"/>
          <w:b/>
          <w:bCs/>
          <w:color w:val="334155"/>
          <w:sz w:val="24"/>
          <w:szCs w:val="24"/>
        </w:rPr>
        <w:t xml:space="preserve">Sprint 1.1: Catalyst Proposal Generator Frontend (Weeks 1–2)</w:t>
      </w:r>
    </w:p>
    <w:p>
      <w:pPr>
        <w:spacing w:after="80" w:before="80"/>
        <w:jc w:val="left"/>
      </w:pPr>
      <w:r>
        <w:rPr>
          <w:rFonts w:ascii="Arial" w:cs="Arial" w:eastAsia="Arial" w:hAnsi="Arial"/>
          <w:b w:val="false"/>
          <w:bCs w:val="false"/>
          <w:color w:val="334155"/>
          <w:sz w:val="22"/>
          <w:szCs w:val="22"/>
        </w:rPr>
        <w:t xml:space="preserve">Backend is 100% done. Frontend is 0%. This is the highest-effort-to-value ratio item on the entire backlog — wiring existing backend to a UI. Delivers: semi-automated proposal writing for every tender the sales team chases.</w:t>
      </w:r>
    </w:p>
    <w:p>
      <w:pPr>
        <w:pStyle w:val="Heading3"/>
        <w:spacing w:after="80" w:before="200"/>
      </w:pPr>
      <w:r>
        <w:rPr>
          <w:rFonts w:ascii="Arial" w:cs="Arial" w:eastAsia="Arial" w:hAnsi="Arial"/>
          <w:b/>
          <w:bCs/>
          <w:color w:val="334155"/>
          <w:sz w:val="24"/>
          <w:szCs w:val="24"/>
        </w:rPr>
        <w:t xml:space="preserve">Sprint 1.2: Xellena MVP — FMEA/RBI Advisory (Weeks 3–8)</w:t>
      </w:r>
    </w:p>
    <w:p>
      <w:pPr>
        <w:spacing w:after="80" w:before="80"/>
        <w:jc w:val="left"/>
      </w:pPr>
      <w:r>
        <w:rPr>
          <w:rFonts w:ascii="Arial" w:cs="Arial" w:eastAsia="Arial" w:hAnsi="Arial"/>
          <w:b w:val="false"/>
          <w:bCs w:val="false"/>
          <w:color w:val="334155"/>
          <w:sz w:val="22"/>
          <w:szCs w:val="22"/>
        </w:rPr>
        <w:t xml:space="preserve">Choose one module (RBI recommended as it's the most analytically intensive). Deploy a RAG-based Xellena assistant that can: (a) answer questions about specific equipment risk in natural language, (b) explain why RBI classified a component as high risk, (c) suggest inspection methods based on API 580/571. This is the V1 demonstration that gets the concept into client hands.</w:t>
      </w:r>
    </w:p>
    <w:p>
      <w:pPr>
        <w:pStyle w:val="Heading3"/>
        <w:spacing w:after="80" w:before="200"/>
      </w:pPr>
      <w:r>
        <w:rPr>
          <w:rFonts w:ascii="Arial" w:cs="Arial" w:eastAsia="Arial" w:hAnsi="Arial"/>
          <w:b/>
          <w:bCs/>
          <w:color w:val="334155"/>
          <w:sz w:val="24"/>
          <w:szCs w:val="24"/>
        </w:rPr>
        <w:t xml:space="preserve">Sprint 1.3: Inspector Pro MVP (Weeks 6–12)</w:t>
      </w:r>
    </w:p>
    <w:p>
      <w:pPr>
        <w:spacing w:after="80" w:before="80"/>
        <w:jc w:val="left"/>
      </w:pPr>
      <w:r>
        <w:rPr>
          <w:rFonts w:ascii="Arial" w:cs="Arial" w:eastAsia="Arial" w:hAnsi="Arial"/>
          <w:b w:val="false"/>
          <w:bCs w:val="false"/>
          <w:color w:val="334155"/>
          <w:sz w:val="22"/>
          <w:szCs w:val="22"/>
        </w:rPr>
        <w:t xml:space="preserve">React Native app. Core features only: QR/NFC scan → Excellence data pull → photo capture → voice note → sync. No AI damage classification yet (that's Phase 2). Gets field data flowing into Excellence immediately and gives engineers a reason to use Excellence daily.</w:t>
      </w:r>
    </w:p>
    <w:p>
      <w:pPr>
        <w:pStyle w:val="Heading2"/>
        <w:pBdr>
          <w:bottom w:val="single" w:color="003478" w:sz="8" w:space="4"/>
        </w:pBdr>
        <w:spacing w:after="100" w:before="280"/>
      </w:pPr>
      <w:r>
        <w:rPr>
          <w:rFonts w:ascii="Arial" w:cs="Arial" w:eastAsia="Arial" w:hAnsi="Arial"/>
          <w:b/>
          <w:bCs/>
          <w:color w:val="003478"/>
          <w:sz w:val="28"/>
          <w:szCs w:val="28"/>
        </w:rPr>
        <w:t xml:space="preserve">Phase 2 (Months 4–9) — New Revenue Streams</w:t>
      </w:r>
    </w:p>
    <w:p>
      <w:pPr>
        <w:pStyle w:val="Heading3"/>
        <w:spacing w:after="80" w:before="200"/>
      </w:pPr>
      <w:r>
        <w:rPr>
          <w:rFonts w:ascii="Arial" w:cs="Arial" w:eastAsia="Arial" w:hAnsi="Arial"/>
          <w:b/>
          <w:bCs/>
          <w:color w:val="334155"/>
          <w:sz w:val="24"/>
          <w:szCs w:val="24"/>
        </w:rPr>
        <w:t xml:space="preserve">Sprint 2.1: Turnaround Management Module (Months 4–7)</w:t>
      </w:r>
    </w:p>
    <w:p>
      <w:pPr>
        <w:spacing w:after="80" w:before="80"/>
        <w:jc w:val="left"/>
      </w:pPr>
      <w:r>
        <w:rPr>
          <w:rFonts w:ascii="Arial" w:cs="Arial" w:eastAsia="Arial" w:hAnsi="Arial"/>
          <w:b w:val="false"/>
          <w:bCs w:val="false"/>
          <w:color w:val="334155"/>
          <w:sz w:val="22"/>
          <w:szCs w:val="22"/>
        </w:rPr>
        <w:t xml:space="preserve">Highest potential ticket size of any new module. Builds directly on existing ITPM foundation. Scope: TA project workspace, scope register, daily progress tracking, punch list management. Critical path scheduling is V2.</w:t>
      </w:r>
    </w:p>
    <w:p>
      <w:pPr>
        <w:pStyle w:val="Heading3"/>
        <w:spacing w:after="80" w:before="200"/>
      </w:pPr>
      <w:r>
        <w:rPr>
          <w:rFonts w:ascii="Arial" w:cs="Arial" w:eastAsia="Arial" w:hAnsi="Arial"/>
          <w:b/>
          <w:bCs/>
          <w:color w:val="334155"/>
          <w:sz w:val="24"/>
          <w:szCs w:val="24"/>
        </w:rPr>
        <w:t xml:space="preserve">Sprint 2.2: Carbon / ESG Module (Months 5–8)</w:t>
      </w:r>
    </w:p>
    <w:p>
      <w:pPr>
        <w:spacing w:after="80" w:before="80"/>
        <w:jc w:val="left"/>
      </w:pPr>
      <w:r>
        <w:rPr>
          <w:rFonts w:ascii="Arial" w:cs="Arial" w:eastAsia="Arial" w:hAnsi="Arial"/>
          <w:b w:val="false"/>
          <w:bCs w:val="false"/>
          <w:color w:val="334155"/>
          <w:sz w:val="22"/>
          <w:szCs w:val="22"/>
        </w:rPr>
        <w:t xml:space="preserve">Urgency is real — OJK reporting requirements and EU Battery Regulation are on a timeline. Start with Scope 1 (direct emissions from equipment in Excellence) and a simple report template. Expand to Scope 2/3 in V2. Quick win because the data is already in Excellence.</w:t>
      </w:r>
    </w:p>
    <w:p>
      <w:pPr>
        <w:pStyle w:val="Heading3"/>
        <w:spacing w:after="80" w:before="200"/>
      </w:pPr>
      <w:r>
        <w:rPr>
          <w:rFonts w:ascii="Arial" w:cs="Arial" w:eastAsia="Arial" w:hAnsi="Arial"/>
          <w:b/>
          <w:bCs/>
          <w:color w:val="334155"/>
          <w:sz w:val="24"/>
          <w:szCs w:val="24"/>
        </w:rPr>
        <w:t xml:space="preserve">Sprint 2.3: Edge Intelligence Box V2 (Months 6–9)</w:t>
      </w:r>
    </w:p>
    <w:p>
      <w:pPr>
        <w:spacing w:after="80" w:before="80"/>
        <w:jc w:val="left"/>
      </w:pPr>
      <w:r>
        <w:rPr>
          <w:rFonts w:ascii="Arial" w:cs="Arial" w:eastAsia="Arial" w:hAnsi="Arial"/>
          <w:b w:val="false"/>
          <w:bCs w:val="false"/>
          <w:color w:val="334155"/>
          <w:sz w:val="22"/>
          <w:szCs w:val="22"/>
        </w:rPr>
        <w:t xml:space="preserve">Take the IPA ConMon demo, harden it into a productizable unit. Ruggedize the enclosure, add Modbus/RS-485 input for legacy equipment, package with a 12-month cloud subscription. Run a pilot at one existing Excellence client site.</w:t>
      </w:r>
    </w:p>
    <w:p>
      <w:pPr>
        <w:pStyle w:val="Heading2"/>
        <w:pBdr>
          <w:bottom w:val="single" w:color="003478" w:sz="8" w:space="4"/>
        </w:pBdr>
        <w:spacing w:after="100" w:before="280"/>
      </w:pPr>
      <w:r>
        <w:rPr>
          <w:rFonts w:ascii="Arial" w:cs="Arial" w:eastAsia="Arial" w:hAnsi="Arial"/>
          <w:b/>
          <w:bCs/>
          <w:color w:val="003478"/>
          <w:sz w:val="28"/>
          <w:szCs w:val="28"/>
        </w:rPr>
        <w:t xml:space="preserve">Phase 3 (Months 10–18) — Platform Expansion</w:t>
      </w:r>
    </w:p>
    <w:p>
      <w:pPr>
        <w:pStyle w:val="Heading3"/>
        <w:spacing w:after="80" w:before="200"/>
      </w:pPr>
      <w:r>
        <w:rPr>
          <w:rFonts w:ascii="Arial" w:cs="Arial" w:eastAsia="Arial" w:hAnsi="Arial"/>
          <w:b/>
          <w:bCs/>
          <w:color w:val="334155"/>
          <w:sz w:val="24"/>
          <w:szCs w:val="24"/>
        </w:rPr>
        <w:t xml:space="preserve">Geothermal Vertical Module (Months 10–14)</w:t>
      </w:r>
    </w:p>
    <w:p>
      <w:pPr>
        <w:spacing w:after="80" w:before="80"/>
        <w:jc w:val="left"/>
      </w:pPr>
      <w:r>
        <w:rPr>
          <w:rFonts w:ascii="Arial" w:cs="Arial" w:eastAsia="Arial" w:hAnsi="Arial"/>
          <w:b w:val="false"/>
          <w:bCs w:val="false"/>
          <w:color w:val="334155"/>
          <w:sz w:val="22"/>
          <w:szCs w:val="22"/>
        </w:rPr>
        <w:t xml:space="preserve">GeoDipa relationship exists. Build the wellhead integrity and brine monitoring module. Pilot at one GeoDipa site.</w:t>
      </w:r>
    </w:p>
    <w:p>
      <w:pPr>
        <w:pStyle w:val="Heading3"/>
        <w:spacing w:after="80" w:before="200"/>
      </w:pPr>
      <w:r>
        <w:rPr>
          <w:rFonts w:ascii="Arial" w:cs="Arial" w:eastAsia="Arial" w:hAnsi="Arial"/>
          <w:b/>
          <w:bCs/>
          <w:color w:val="334155"/>
          <w:sz w:val="24"/>
          <w:szCs w:val="24"/>
        </w:rPr>
        <w:t xml:space="preserve">Digital Twin L1 (Months 12–16)</w:t>
      </w:r>
    </w:p>
    <w:p>
      <w:pPr>
        <w:spacing w:after="80" w:before="80"/>
        <w:jc w:val="left"/>
      </w:pPr>
      <w:r>
        <w:rPr>
          <w:rFonts w:ascii="Arial" w:cs="Arial" w:eastAsia="Arial" w:hAnsi="Arial"/>
          <w:b w:val="false"/>
          <w:bCs w:val="false"/>
          <w:color w:val="334155"/>
          <w:sz w:val="22"/>
          <w:szCs w:val="22"/>
        </w:rPr>
        <w:t xml:space="preserve">Connect Edge Box telemetry to a visual asset dashboard in Excellence. Real-time KPI cards, trend charts, anomaly flags. This is the foundation that makes the twin vision tangible to clients.</w:t>
      </w:r>
    </w:p>
    <w:p>
      <w:pPr>
        <w:pStyle w:val="Heading3"/>
        <w:spacing w:after="80" w:before="200"/>
      </w:pPr>
      <w:r>
        <w:rPr>
          <w:rFonts w:ascii="Arial" w:cs="Arial" w:eastAsia="Arial" w:hAnsi="Arial"/>
          <w:b/>
          <w:bCs/>
          <w:color w:val="334155"/>
          <w:sz w:val="24"/>
          <w:szCs w:val="24"/>
        </w:rPr>
        <w:t xml:space="preserve">Xellena Agentic Evolution (Months 14–18)</w:t>
      </w:r>
    </w:p>
    <w:p>
      <w:pPr>
        <w:spacing w:after="80" w:before="80"/>
        <w:jc w:val="left"/>
      </w:pPr>
      <w:r>
        <w:rPr>
          <w:rFonts w:ascii="Arial" w:cs="Arial" w:eastAsia="Arial" w:hAnsi="Arial"/>
          <w:b w:val="false"/>
          <w:bCs w:val="false"/>
          <w:color w:val="334155"/>
          <w:sz w:val="22"/>
          <w:szCs w:val="22"/>
        </w:rPr>
        <w:t xml:space="preserve">Upgrade Xellena from advisory to agentic: tool-calling to generate work orders, update ITPM schedules, and trigger notifications. This is the platform capability that justifies a price premium over all competitors.</w:t>
      </w:r>
    </w:p>
    <w:p>
      <w:pPr>
        <w:pStyle w:val="Heading2"/>
        <w:pBdr>
          <w:bottom w:val="single" w:color="003478" w:sz="8" w:space="4"/>
        </w:pBdr>
        <w:spacing w:after="100" w:before="280"/>
      </w:pPr>
      <w:r>
        <w:rPr>
          <w:rFonts w:ascii="Arial" w:cs="Arial" w:eastAsia="Arial" w:hAnsi="Arial"/>
          <w:b/>
          <w:bCs/>
          <w:color w:val="003478"/>
          <w:sz w:val="28"/>
          <w:szCs w:val="28"/>
        </w:rPr>
        <w:t xml:space="preserve">Revenue Model Evolution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13"/>
        <w:gridCol w:w="2413"/>
        <w:gridCol w:w="2400"/>
      </w:tblGrid>
      <w:tr>
        <w:trPr>
          <w:tblHeader/>
        </w:trPr>
        <w:tc>
          <w:tcPr>
            <w:tcW w:type="dxa" w:w="1800"/>
            <w:tcBorders>
              <w:top w:val="single" w:color="003478" w:sz="1"/>
              <w:left w:val="single" w:color="003478" w:sz="1"/>
              <w:bottom w:val="single" w:color="003478" w:sz="1"/>
              <w:right w:val="single" w:color="003478" w:sz="1"/>
            </w:tcBorders>
            <w:shd w:fill="003478"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2413"/>
            <w:tcBorders>
              <w:top w:val="single" w:color="003478" w:sz="1"/>
              <w:left w:val="single" w:color="003478" w:sz="1"/>
              <w:bottom w:val="single" w:color="003478" w:sz="1"/>
              <w:right w:val="single" w:color="003478" w:sz="1"/>
            </w:tcBorders>
            <w:shd w:fill="003478" w:val="clear"/>
            <w:tcMar>
              <w:top w:type="dxa" w:w="100"/>
              <w:left w:type="dxa" w:w="140"/>
              <w:bottom w:type="dxa" w:w="100"/>
              <w:right w:type="dxa" w:w="140"/>
            </w:tcMar>
          </w:tcPr>
          <w:p>
            <w:r>
              <w:rPr>
                <w:rFonts w:ascii="Arial" w:cs="Arial" w:eastAsia="Arial" w:hAnsi="Arial"/>
                <w:b/>
                <w:bCs/>
                <w:color w:val="FFFFFF"/>
                <w:sz w:val="20"/>
                <w:szCs w:val="20"/>
              </w:rPr>
              <w:t xml:space="preserve">Revenue Type</w:t>
            </w:r>
          </w:p>
        </w:tc>
        <w:tc>
          <w:tcPr>
            <w:tcW w:type="dxa" w:w="2413"/>
            <w:tcBorders>
              <w:top w:val="single" w:color="003478" w:sz="1"/>
              <w:left w:val="single" w:color="003478" w:sz="1"/>
              <w:bottom w:val="single" w:color="003478" w:sz="1"/>
              <w:right w:val="single" w:color="003478" w:sz="1"/>
            </w:tcBorders>
            <w:shd w:fill="003478" w:val="clear"/>
            <w:tcMar>
              <w:top w:type="dxa" w:w="100"/>
              <w:left w:type="dxa" w:w="140"/>
              <w:bottom w:type="dxa" w:w="100"/>
              <w:right w:type="dxa" w:w="140"/>
            </w:tcMar>
          </w:tcPr>
          <w:p>
            <w:r>
              <w:rPr>
                <w:rFonts w:ascii="Arial" w:cs="Arial" w:eastAsia="Arial" w:hAnsi="Arial"/>
                <w:b/>
                <w:bCs/>
                <w:color w:val="FFFFFF"/>
                <w:sz w:val="20"/>
                <w:szCs w:val="20"/>
              </w:rPr>
              <w:t xml:space="preserve">Primary Source</w:t>
            </w:r>
          </w:p>
        </w:tc>
        <w:tc>
          <w:tcPr>
            <w:tcW w:type="dxa" w:w="2400"/>
            <w:tcBorders>
              <w:top w:val="single" w:color="003478" w:sz="1"/>
              <w:left w:val="single" w:color="003478" w:sz="1"/>
              <w:bottom w:val="single" w:color="003478" w:sz="1"/>
              <w:right w:val="single" w:color="003478" w:sz="1"/>
            </w:tcBorders>
            <w:shd w:fill="003478" w:val="clear"/>
            <w:tcMar>
              <w:top w:type="dxa" w:w="100"/>
              <w:left w:type="dxa" w:w="140"/>
              <w:bottom w:type="dxa" w:w="100"/>
              <w:right w:type="dxa" w:w="140"/>
            </w:tcMar>
          </w:tcPr>
          <w:p>
            <w:r>
              <w:rPr>
                <w:rFonts w:ascii="Arial" w:cs="Arial" w:eastAsia="Arial" w:hAnsi="Arial"/>
                <w:b/>
                <w:bCs/>
                <w:color w:val="FFFFFF"/>
                <w:sz w:val="20"/>
                <w:szCs w:val="20"/>
              </w:rPr>
              <w:t xml:space="preserve">Target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Now</w:t>
            </w:r>
          </w:p>
        </w:tc>
        <w:tc>
          <w:tcPr>
            <w:tcW w:type="dxa" w:w="24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Project / implementation</w:t>
            </w:r>
          </w:p>
        </w:tc>
        <w:tc>
          <w:tcPr>
            <w:tcW w:type="dxa" w:w="24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Excellence AIRMS deployments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Existing base</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Phase 1</w:t>
            </w:r>
          </w:p>
        </w:tc>
        <w:tc>
          <w:tcPr>
            <w:tcW w:type="dxa" w:w="241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Module upsell</w:t>
            </w:r>
          </w:p>
        </w:tc>
        <w:tc>
          <w:tcPr>
            <w:tcW w:type="dxa" w:w="241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Xellena Advisory, Inspector Pro</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Existing clients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Phase 2</w:t>
            </w:r>
          </w:p>
        </w:tc>
        <w:tc>
          <w:tcPr>
            <w:tcW w:type="dxa" w:w="24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Mixed project + recurring</w:t>
            </w:r>
          </w:p>
        </w:tc>
        <w:tc>
          <w:tcPr>
            <w:tcW w:type="dxa" w:w="24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TA Module, ESG Module, Edge Box SaaS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Existing + new</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Phase 3</w:t>
            </w:r>
          </w:p>
        </w:tc>
        <w:tc>
          <w:tcPr>
            <w:tcW w:type="dxa" w:w="241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Recurring dominant</w:t>
            </w:r>
          </w:p>
        </w:tc>
        <w:tc>
          <w:tcPr>
            <w:tcW w:type="dxa" w:w="241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Platform subscriptions + vertical SaaS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New markets</w:t>
            </w:r>
          </w:p>
        </w:tc>
      </w:tr>
    </w:tbl>
    <w:p>
      <w:pPr>
        <w:spacing w:after="0" w:before="80"/>
        <w:jc w:val="left"/>
      </w:pPr>
      <w:r>
        <w:rPr>
          <w:rFonts w:ascii="Arial" w:cs="Arial" w:eastAsia="Arial" w:hAnsi="Arial"/>
          <w:b w:val="false"/>
          <w:bCs w:val="false"/>
          <w:color w:val="334155"/>
          <w:sz w:val="22"/>
          <w:szCs w:val="22"/>
        </w:rPr>
        <w:t xml:space="preserve"/>
      </w:r>
    </w:p>
    <w:p>
      <w:r>
        <w:br w:type="page"/>
      </w:r>
    </w:p>
    <w:p>
      <w:pPr>
        <w:pStyle w:val="Heading1"/>
        <w:shd w:fill="003478" w:val="clear"/>
        <w:spacing w:after="120" w:before="360"/>
        <w:ind w:left="200" w:right="200"/>
      </w:pPr>
      <w:r>
        <w:rPr>
          <w:rFonts w:ascii="Arial" w:cs="Arial" w:eastAsia="Arial" w:hAnsi="Arial"/>
          <w:b/>
          <w:bCs/>
          <w:color w:val="FFFFFF"/>
          <w:sz w:val="36"/>
          <w:szCs w:val="36"/>
        </w:rPr>
        <w:t xml:space="preserve">07  The Internal Pitch — Framing for Management</w:t>
      </w:r>
    </w:p>
    <w:p>
      <w:pPr>
        <w:spacing w:after="0" w:before="80"/>
        <w:jc w:val="left"/>
      </w:pPr>
      <w:r>
        <w:rPr>
          <w:rFonts w:ascii="Arial" w:cs="Arial" w:eastAsia="Arial" w:hAnsi="Arial"/>
          <w:b w:val="false"/>
          <w:bCs w:val="false"/>
          <w:color w:val="334155"/>
          <w:sz w:val="22"/>
          <w:szCs w:val="22"/>
        </w:rPr>
        <w:t xml:space="preserve"/>
      </w:r>
    </w:p>
    <w:p>
      <w:pPr>
        <w:spacing w:after="80" w:before="80"/>
        <w:jc w:val="left"/>
      </w:pPr>
      <w:r>
        <w:rPr>
          <w:rFonts w:ascii="Arial" w:cs="Arial" w:eastAsia="Arial" w:hAnsi="Arial"/>
          <w:b w:val="false"/>
          <w:bCs w:val="false"/>
          <w:color w:val="334155"/>
          <w:sz w:val="22"/>
          <w:szCs w:val="22"/>
        </w:rPr>
        <w:t xml:space="preserve">This section provides a structured argument for presenting this roadmap to CRI leadership. The goal is to secure dedicated development time and internal buy-in for the platform expansion strategy.</w:t>
      </w:r>
    </w:p>
    <w:p>
      <w:pPr>
        <w:pStyle w:val="Heading2"/>
        <w:pBdr>
          <w:bottom w:val="single" w:color="003478" w:sz="8" w:space="4"/>
        </w:pBdr>
        <w:spacing w:after="100" w:before="280"/>
      </w:pPr>
      <w:r>
        <w:rPr>
          <w:rFonts w:ascii="Arial" w:cs="Arial" w:eastAsia="Arial" w:hAnsi="Arial"/>
          <w:b/>
          <w:bCs/>
          <w:color w:val="003478"/>
          <w:sz w:val="28"/>
          <w:szCs w:val="28"/>
        </w:rPr>
        <w:t xml:space="preserve">7.1  The Three-Part Argument</w:t>
      </w:r>
    </w:p>
    <w:p>
      <w:pPr>
        <w:pStyle w:val="Heading3"/>
        <w:spacing w:after="80" w:before="200"/>
      </w:pPr>
      <w:r>
        <w:rPr>
          <w:rFonts w:ascii="Arial" w:cs="Arial" w:eastAsia="Arial" w:hAnsi="Arial"/>
          <w:b/>
          <w:bCs/>
          <w:color w:val="334155"/>
          <w:sz w:val="24"/>
          <w:szCs w:val="24"/>
        </w:rPr>
        <w:t xml:space="preserve">Argument 1 — The Market Validation is Done</w:t>
      </w:r>
    </w:p>
    <w:p>
      <w:pPr>
        <w:spacing w:after="80" w:before="80"/>
        <w:jc w:val="left"/>
      </w:pPr>
      <w:r>
        <w:rPr>
          <w:rFonts w:ascii="Arial" w:cs="Arial" w:eastAsia="Arial" w:hAnsi="Arial"/>
          <w:b w:val="false"/>
          <w:bCs w:val="false"/>
          <w:color w:val="334155"/>
          <w:sz w:val="22"/>
          <w:szCs w:val="22"/>
        </w:rPr>
        <w:t xml:space="preserve">IPA Convex 2025 validated that the Indonesian industrial market responds to what CRI is building. Attendees from O&amp;G, mining, and geothermal companies showed genuine interest in the IoT and intelligence layer. This is not a speculative bet — the market is asking for exactly what we can deliver.</w:t>
      </w:r>
    </w:p>
    <w:p>
      <w:pPr>
        <w:pStyle w:val="Heading3"/>
        <w:spacing w:after="80" w:before="200"/>
      </w:pPr>
      <w:r>
        <w:rPr>
          <w:rFonts w:ascii="Arial" w:cs="Arial" w:eastAsia="Arial" w:hAnsi="Arial"/>
          <w:b/>
          <w:bCs/>
          <w:color w:val="334155"/>
          <w:sz w:val="24"/>
          <w:szCs w:val="24"/>
        </w:rPr>
        <w:t xml:space="preserve">Argument 2 — The Moat Window is Limited</w:t>
      </w:r>
    </w:p>
    <w:p>
      <w:pPr>
        <w:spacing w:after="80" w:before="80"/>
        <w:jc w:val="left"/>
      </w:pPr>
      <w:r>
        <w:rPr>
          <w:rFonts w:ascii="Arial" w:cs="Arial" w:eastAsia="Arial" w:hAnsi="Arial"/>
          <w:b w:val="false"/>
          <w:bCs w:val="false"/>
          <w:color w:val="334155"/>
          <w:sz w:val="22"/>
          <w:szCs w:val="22"/>
        </w:rPr>
        <w:t xml:space="preserve">The gap between what we have built and what global competitors (ABB, Emerson, Honeywell, AspenTech) offer in Indonesia is real today. They are expensive, slow to localize, and do not understand SKK Migas / ESDM regulations the way we do. But this window will not stay open forever. We need to deepen the platform defensibility — local regulatory knowledge, local data, local relationships, local language — before they close the gap.</w:t>
      </w:r>
    </w:p>
    <w:p>
      <w:pPr>
        <w:pStyle w:val="Heading3"/>
        <w:spacing w:after="80" w:before="200"/>
      </w:pPr>
      <w:r>
        <w:rPr>
          <w:rFonts w:ascii="Arial" w:cs="Arial" w:eastAsia="Arial" w:hAnsi="Arial"/>
          <w:b/>
          <w:bCs/>
          <w:color w:val="334155"/>
          <w:sz w:val="24"/>
          <w:szCs w:val="24"/>
        </w:rPr>
        <w:t xml:space="preserve">Argument 3 — The Path from Project Revenue to Recurring Revenue</w:t>
      </w:r>
    </w:p>
    <w:p>
      <w:pPr>
        <w:spacing w:after="80" w:before="80"/>
        <w:jc w:val="left"/>
      </w:pPr>
      <w:r>
        <w:rPr>
          <w:rFonts w:ascii="Arial" w:cs="Arial" w:eastAsia="Arial" w:hAnsi="Arial"/>
          <w:b w:val="false"/>
          <w:bCs w:val="false"/>
          <w:color w:val="334155"/>
          <w:sz w:val="22"/>
          <w:szCs w:val="22"/>
        </w:rPr>
        <w:t xml:space="preserve">Today CRI earns primarily from project and implementation fees. Every module we add to Excellence — especially if delivered as a subscription — converts one-time revenue into recurring annual revenue. The same engineering effort that builds a Turnaround Management module for Client A creates a product that can be sold to Clients B, C, and D. This is the leverage of platform business models.</w:t>
      </w:r>
    </w:p>
    <w:p>
      <w:pPr>
        <w:pStyle w:val="Heading2"/>
        <w:pBdr>
          <w:bottom w:val="single" w:color="003478" w:sz="8" w:space="4"/>
        </w:pBdr>
        <w:spacing w:after="100" w:before="280"/>
      </w:pPr>
      <w:r>
        <w:rPr>
          <w:rFonts w:ascii="Arial" w:cs="Arial" w:eastAsia="Arial" w:hAnsi="Arial"/>
          <w:b/>
          <w:bCs/>
          <w:color w:val="003478"/>
          <w:sz w:val="28"/>
          <w:szCs w:val="28"/>
        </w:rPr>
        <w:t xml:space="preserve">7.2  The MVP Pitch Script (3-Week Proposal)</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single" w:color="003478" w:sz="1"/>
              <w:left w:val="single" w:color="003478" w:sz="1"/>
              <w:bottom w:val="single" w:color="003478" w:sz="1"/>
              <w:right w:val="single" w:color="003478" w:sz="1"/>
            </w:tcBorders>
            <w:shd w:fill="DBEAFE" w:val="clear"/>
            <w:tcMar>
              <w:top w:type="dxa" w:w="80"/>
              <w:left w:type="dxa" w:w="160"/>
              <w:bottom w:type="dxa" w:w="40"/>
              <w:right w:type="dxa" w:w="160"/>
            </w:tcMar>
          </w:tcPr>
          <w:p>
            <w:r>
              <w:rPr>
                <w:rFonts w:ascii="Arial" w:cs="Arial" w:eastAsia="Arial" w:hAnsi="Arial"/>
                <w:b/>
                <w:bCs/>
                <w:color w:val="003478"/>
                <w:sz w:val="18"/>
                <w:szCs w:val="18"/>
              </w:rPr>
              <w:t xml:space="preserve">PITCH SCRIPT — BAHASA INDONESIA</w:t>
            </w:r>
          </w:p>
        </w:tc>
      </w:tr>
      <w:tr>
        <w:tc>
          <w:tcPr>
            <w:tcBorders>
              <w:top w:val="single" w:color="003478" w:sz="1"/>
              <w:left w:val="single" w:color="003478" w:sz="1"/>
              <w:bottom w:val="single" w:color="003478" w:sz="1"/>
              <w:right w:val="single" w:color="003478" w:sz="1"/>
            </w:tcBorders>
            <w:shd w:fill="DBEAFE" w:val="clear"/>
            <w:tcMar>
              <w:top w:type="dxa" w:w="80"/>
              <w:left w:type="dxa" w:w="160"/>
              <w:bottom w:type="dxa" w:w="80"/>
              <w:right w:type="dxa" w:w="160"/>
            </w:tcMar>
          </w:tcPr>
          <w:p>
            <w:pPr>
              <w:spacing w:after="0" w:before="0"/>
            </w:pPr>
            <w:r>
              <w:rPr>
                <w:rFonts w:ascii="Arial" w:cs="Arial" w:eastAsia="Arial" w:hAnsi="Arial"/>
                <w:color w:val="334155"/>
                <w:sz w:val="21"/>
                <w:szCs w:val="21"/>
              </w:rPr>
              <w:t xml:space="preserve">"Pak, dari respons luar biasa di IPA Convex kemarin, satu hal yang saya tangkap: pasar O&amp;G sangat butuh teknologi kita. Tapi, sistem yang kita demokan baru setengah jalan — itu baru di tahap 'menampilkan data'.
Untuk benar-benar memonopoli segmen ini, kita harus masuk ke tahap otomatisasi. Saya sudah merancang arsitekturnya: kita tanamkan Agentic AI di atas infrastruktur Excellence. AI ini nggak cuma baca tegangan — dia bisa otomatis bikin laporan prediktif dan generate work order.
Beri saya 3 minggu dan 1 modul spesifik untuk develop MVP Xellena. Kalau ini terbukti jalan, kita scale ke seluruh modul. Roadmap-nya sudah saya siapkan."</w:t>
            </w:r>
          </w:p>
        </w:tc>
      </w:tr>
    </w:tbl>
    <w:p>
      <w:pPr>
        <w:spacing w:after="0" w:before="80"/>
        <w:jc w:val="left"/>
      </w:pPr>
      <w:r>
        <w:rPr>
          <w:rFonts w:ascii="Arial" w:cs="Arial" w:eastAsia="Arial" w:hAnsi="Arial"/>
          <w:b w:val="false"/>
          <w:bCs w:val="false"/>
          <w:color w:val="334155"/>
          <w:sz w:val="22"/>
          <w:szCs w:val="22"/>
        </w:rPr>
        <w:t xml:space="preserve"/>
      </w:r>
    </w:p>
    <w:p>
      <w:pPr>
        <w:pStyle w:val="Heading2"/>
        <w:pBdr>
          <w:bottom w:val="single" w:color="003478" w:sz="8" w:space="4"/>
        </w:pBdr>
        <w:spacing w:after="100" w:before="280"/>
      </w:pPr>
      <w:r>
        <w:rPr>
          <w:rFonts w:ascii="Arial" w:cs="Arial" w:eastAsia="Arial" w:hAnsi="Arial"/>
          <w:b/>
          <w:bCs/>
          <w:color w:val="003478"/>
          <w:sz w:val="28"/>
          <w:szCs w:val="28"/>
        </w:rPr>
        <w:t xml:space="preserve">7.3  ROI Justification by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13"/>
        <w:gridCol w:w="2413"/>
        <w:gridCol w:w="2000"/>
      </w:tblGrid>
      <w:tr>
        <w:trPr>
          <w:tblHeader/>
        </w:trPr>
        <w:tc>
          <w:tcPr>
            <w:tcW w:type="dxa" w:w="2200"/>
            <w:tcBorders>
              <w:top w:val="single" w:color="003478" w:sz="1"/>
              <w:left w:val="single" w:color="003478" w:sz="1"/>
              <w:bottom w:val="single" w:color="003478" w:sz="1"/>
              <w:right w:val="single" w:color="003478" w:sz="1"/>
            </w:tcBorders>
            <w:shd w:fill="003478" w:val="clear"/>
            <w:tcMar>
              <w:top w:type="dxa" w:w="100"/>
              <w:left w:type="dxa" w:w="140"/>
              <w:bottom w:type="dxa" w:w="100"/>
              <w:right w:type="dxa" w:w="140"/>
            </w:tcMar>
          </w:tcPr>
          <w:p>
            <w:r>
              <w:rPr>
                <w:rFonts w:ascii="Arial" w:cs="Arial" w:eastAsia="Arial" w:hAnsi="Arial"/>
                <w:b/>
                <w:bCs/>
                <w:color w:val="FFFFFF"/>
                <w:sz w:val="20"/>
                <w:szCs w:val="20"/>
              </w:rPr>
              <w:t xml:space="preserve">Module</w:t>
            </w:r>
          </w:p>
        </w:tc>
        <w:tc>
          <w:tcPr>
            <w:tcW w:type="dxa" w:w="2413"/>
            <w:tcBorders>
              <w:top w:val="single" w:color="003478" w:sz="1"/>
              <w:left w:val="single" w:color="003478" w:sz="1"/>
              <w:bottom w:val="single" w:color="003478" w:sz="1"/>
              <w:right w:val="single" w:color="003478" w:sz="1"/>
            </w:tcBorders>
            <w:shd w:fill="003478" w:val="clear"/>
            <w:tcMar>
              <w:top w:type="dxa" w:w="100"/>
              <w:left w:type="dxa" w:w="140"/>
              <w:bottom w:type="dxa" w:w="100"/>
              <w:right w:type="dxa" w:w="140"/>
            </w:tcMar>
          </w:tcPr>
          <w:p>
            <w:r>
              <w:rPr>
                <w:rFonts w:ascii="Arial" w:cs="Arial" w:eastAsia="Arial" w:hAnsi="Arial"/>
                <w:b/>
                <w:bCs/>
                <w:color w:val="FFFFFF"/>
                <w:sz w:val="20"/>
                <w:szCs w:val="20"/>
              </w:rPr>
              <w:t xml:space="preserve">Client Value</w:t>
            </w:r>
          </w:p>
        </w:tc>
        <w:tc>
          <w:tcPr>
            <w:tcW w:type="dxa" w:w="2413"/>
            <w:tcBorders>
              <w:top w:val="single" w:color="003478" w:sz="1"/>
              <w:left w:val="single" w:color="003478" w:sz="1"/>
              <w:bottom w:val="single" w:color="003478" w:sz="1"/>
              <w:right w:val="single" w:color="003478" w:sz="1"/>
            </w:tcBorders>
            <w:shd w:fill="003478" w:val="clear"/>
            <w:tcMar>
              <w:top w:type="dxa" w:w="100"/>
              <w:left w:type="dxa" w:w="140"/>
              <w:bottom w:type="dxa" w:w="100"/>
              <w:right w:type="dxa" w:w="140"/>
            </w:tcMar>
          </w:tcPr>
          <w:p>
            <w:r>
              <w:rPr>
                <w:rFonts w:ascii="Arial" w:cs="Arial" w:eastAsia="Arial" w:hAnsi="Arial"/>
                <w:b/>
                <w:bCs/>
                <w:color w:val="FFFFFF"/>
                <w:sz w:val="20"/>
                <w:szCs w:val="20"/>
              </w:rPr>
              <w:t xml:space="preserve">CRI Revenue Model</w:t>
            </w:r>
          </w:p>
        </w:tc>
        <w:tc>
          <w:tcPr>
            <w:tcW w:type="dxa" w:w="2000"/>
            <w:tcBorders>
              <w:top w:val="single" w:color="003478" w:sz="1"/>
              <w:left w:val="single" w:color="003478" w:sz="1"/>
              <w:bottom w:val="single" w:color="003478" w:sz="1"/>
              <w:right w:val="single" w:color="003478" w:sz="1"/>
            </w:tcBorders>
            <w:shd w:fill="003478" w:val="clear"/>
            <w:tcMar>
              <w:top w:type="dxa" w:w="100"/>
              <w:left w:type="dxa" w:w="140"/>
              <w:bottom w:type="dxa" w:w="100"/>
              <w:right w:type="dxa" w:w="140"/>
            </w:tcMar>
          </w:tcPr>
          <w:p>
            <w:r>
              <w:rPr>
                <w:rFonts w:ascii="Arial" w:cs="Arial" w:eastAsia="Arial" w:hAnsi="Arial"/>
                <w:b/>
                <w:bCs/>
                <w:color w:val="FFFFFF"/>
                <w:sz w:val="20"/>
                <w:szCs w:val="20"/>
              </w:rPr>
              <w:t xml:space="preserve">Dev Effort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Xellena Agentic</w:t>
            </w:r>
          </w:p>
        </w:tc>
        <w:tc>
          <w:tcPr>
            <w:tcW w:type="dxa" w:w="24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Save 2–4 hrs/day engineer time</w:t>
            </w:r>
          </w:p>
        </w:tc>
        <w:tc>
          <w:tcPr>
            <w:tcW w:type="dxa" w:w="24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License add-on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Medium</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TA Management</w:t>
            </w:r>
          </w:p>
        </w:tc>
        <w:tc>
          <w:tcPr>
            <w:tcW w:type="dxa" w:w="241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Reduce TA cost overrun by 5–15%</w:t>
            </w:r>
          </w:p>
        </w:tc>
        <w:tc>
          <w:tcPr>
            <w:tcW w:type="dxa" w:w="241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Per-TA fee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Medium-High</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ESG/Carbon</w:t>
            </w:r>
          </w:p>
        </w:tc>
        <w:tc>
          <w:tcPr>
            <w:tcW w:type="dxa" w:w="24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Avoid OJK penalty, unlock EU export</w:t>
            </w:r>
          </w:p>
        </w:tc>
        <w:tc>
          <w:tcPr>
            <w:tcW w:type="dxa" w:w="24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Annual subscription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Low-Medium</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Edge Intelligence Box</w:t>
            </w:r>
          </w:p>
        </w:tc>
        <w:tc>
          <w:tcPr>
            <w:tcW w:type="dxa" w:w="241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Reduce unplanned downtime 20–40%</w:t>
            </w:r>
          </w:p>
        </w:tc>
        <w:tc>
          <w:tcPr>
            <w:tcW w:type="dxa" w:w="241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HW margin + SaaS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Medium</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Inspector Pro</w:t>
            </w:r>
          </w:p>
        </w:tc>
        <w:tc>
          <w:tcPr>
            <w:tcW w:type="dxa" w:w="24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Cut inspection admin time 60%</w:t>
            </w:r>
          </w:p>
        </w:tc>
        <w:tc>
          <w:tcPr>
            <w:tcW w:type="dxa" w:w="24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Per-user/month</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Medium</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Digital Twin L1</w:t>
            </w:r>
          </w:p>
        </w:tc>
        <w:tc>
          <w:tcPr>
            <w:tcW w:type="dxa" w:w="241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Real-time visibility at mgmt level</w:t>
            </w:r>
          </w:p>
        </w:tc>
        <w:tc>
          <w:tcPr>
            <w:tcW w:type="dxa" w:w="241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Platform tier upsell</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High</w:t>
            </w:r>
          </w:p>
        </w:tc>
      </w:tr>
    </w:tbl>
    <w:p>
      <w:pPr>
        <w:spacing w:after="0" w:before="80"/>
        <w:jc w:val="left"/>
      </w:pPr>
      <w:r>
        <w:rPr>
          <w:rFonts w:ascii="Arial" w:cs="Arial" w:eastAsia="Arial" w:hAnsi="Arial"/>
          <w:b w:val="false"/>
          <w:bCs w:val="false"/>
          <w:color w:val="334155"/>
          <w:sz w:val="22"/>
          <w:szCs w:val="22"/>
        </w:rPr>
        <w:t xml:space="preserve"/>
      </w:r>
    </w:p>
    <w:p>
      <w:r>
        <w:br w:type="page"/>
      </w:r>
    </w:p>
    <w:p>
      <w:pPr>
        <w:pStyle w:val="Heading1"/>
        <w:shd w:fill="003478" w:val="clear"/>
        <w:spacing w:after="120" w:before="360"/>
        <w:ind w:left="200" w:right="200"/>
      </w:pPr>
      <w:r>
        <w:rPr>
          <w:rFonts w:ascii="Arial" w:cs="Arial" w:eastAsia="Arial" w:hAnsi="Arial"/>
          <w:b/>
          <w:bCs/>
          <w:color w:val="FFFFFF"/>
          <w:sz w:val="36"/>
          <w:szCs w:val="36"/>
        </w:rPr>
        <w:t xml:space="preserve">08  Appendix — Reference Data &amp; Sources</w:t>
      </w:r>
    </w:p>
    <w:p>
      <w:pPr>
        <w:spacing w:after="0" w:before="80"/>
        <w:jc w:val="left"/>
      </w:pPr>
      <w:r>
        <w:rPr>
          <w:rFonts w:ascii="Arial" w:cs="Arial" w:eastAsia="Arial" w:hAnsi="Arial"/>
          <w:b w:val="false"/>
          <w:bCs w:val="false"/>
          <w:color w:val="334155"/>
          <w:sz w:val="22"/>
          <w:szCs w:val="22"/>
        </w:rPr>
        <w:t xml:space="preserve"/>
      </w:r>
    </w:p>
    <w:p>
      <w:pPr>
        <w:pStyle w:val="Heading2"/>
        <w:pBdr>
          <w:bottom w:val="single" w:color="003478" w:sz="8" w:space="4"/>
        </w:pBdr>
        <w:spacing w:after="100" w:before="280"/>
      </w:pPr>
      <w:r>
        <w:rPr>
          <w:rFonts w:ascii="Arial" w:cs="Arial" w:eastAsia="Arial" w:hAnsi="Arial"/>
          <w:b/>
          <w:bCs/>
          <w:color w:val="003478"/>
          <w:sz w:val="28"/>
          <w:szCs w:val="28"/>
        </w:rPr>
        <w:t xml:space="preserve">A.  Market Data Sources</w:t>
      </w:r>
    </w:p>
    <w:p>
      <w:pPr>
        <w:pStyle w:val="ListParagraph"/>
        <w:numPr>
          <w:ilvl w:val="0"/>
          <w:numId w:val="2"/>
        </w:numPr>
        <w:spacing w:after="40" w:before="40"/>
      </w:pPr>
      <w:r>
        <w:rPr>
          <w:rFonts w:ascii="Arial" w:cs="Arial" w:eastAsia="Arial" w:hAnsi="Arial"/>
          <w:color w:val="334155"/>
          <w:sz w:val="22"/>
          <w:szCs w:val="22"/>
        </w:rPr>
        <w:t xml:space="preserve">Mordor Intelligence (2026): Indonesia Oil and Gas Market — $14.6B, 5.18% CAGR, upstream 72.1%</w:t>
      </w:r>
    </w:p>
    <w:p>
      <w:pPr>
        <w:pStyle w:val="ListParagraph"/>
        <w:numPr>
          <w:ilvl w:val="0"/>
          <w:numId w:val="2"/>
        </w:numPr>
        <w:spacing w:after="40" w:before="40"/>
      </w:pPr>
      <w:r>
        <w:rPr>
          <w:rFonts w:ascii="Arial" w:cs="Arial" w:eastAsia="Arial" w:hAnsi="Arial"/>
          <w:color w:val="334155"/>
          <w:sz w:val="22"/>
          <w:szCs w:val="22"/>
        </w:rPr>
        <w:t xml:space="preserve">IMARC Group (2025): Indonesia Geothermal Market — 1.5 GWh, 4.84% CAGR, $15B investment target</w:t>
      </w:r>
    </w:p>
    <w:p>
      <w:pPr>
        <w:pStyle w:val="ListParagraph"/>
        <w:numPr>
          <w:ilvl w:val="0"/>
          <w:numId w:val="2"/>
        </w:numPr>
        <w:spacing w:after="40" w:before="40"/>
      </w:pPr>
      <w:r>
        <w:rPr>
          <w:rFonts w:ascii="Arial" w:cs="Arial" w:eastAsia="Arial" w:hAnsi="Arial"/>
          <w:color w:val="334155"/>
          <w:sz w:val="22"/>
          <w:szCs w:val="22"/>
        </w:rPr>
        <w:t xml:space="preserve">S&amp;P Global Market Intelligence (Nov 2025): Indonesia Mining — 60%+ global nickel share, $2.5B equipment market</w:t>
      </w:r>
    </w:p>
    <w:p>
      <w:pPr>
        <w:pStyle w:val="ListParagraph"/>
        <w:numPr>
          <w:ilvl w:val="0"/>
          <w:numId w:val="2"/>
        </w:numPr>
        <w:spacing w:after="40" w:before="40"/>
      </w:pPr>
      <w:r>
        <w:rPr>
          <w:rFonts w:ascii="Arial" w:cs="Arial" w:eastAsia="Arial" w:hAnsi="Arial"/>
          <w:color w:val="334155"/>
          <w:sz w:val="22"/>
          <w:szCs w:val="22"/>
        </w:rPr>
        <w:t xml:space="preserve">Market Research Future (Apr 2026): Indonesia Palm Oil — $1.75B, 5.86% CAGR</w:t>
      </w:r>
    </w:p>
    <w:p>
      <w:pPr>
        <w:pStyle w:val="ListParagraph"/>
        <w:numPr>
          <w:ilvl w:val="0"/>
          <w:numId w:val="2"/>
        </w:numPr>
        <w:spacing w:after="40" w:before="40"/>
      </w:pPr>
      <w:r>
        <w:rPr>
          <w:rFonts w:ascii="Arial" w:cs="Arial" w:eastAsia="Arial" w:hAnsi="Arial"/>
          <w:color w:val="334155"/>
          <w:sz w:val="22"/>
          <w:szCs w:val="22"/>
        </w:rPr>
        <w:t xml:space="preserve">Expert Market Research (2025): Indonesia O&amp;G Downstream — petrochemical 7.6% CAGR</w:t>
      </w:r>
    </w:p>
    <w:p>
      <w:pPr>
        <w:pStyle w:val="ListParagraph"/>
        <w:numPr>
          <w:ilvl w:val="0"/>
          <w:numId w:val="2"/>
        </w:numPr>
        <w:spacing w:after="40" w:before="40"/>
      </w:pPr>
      <w:r>
        <w:rPr>
          <w:rFonts w:ascii="Arial" w:cs="Arial" w:eastAsia="Arial" w:hAnsi="Arial"/>
          <w:color w:val="334155"/>
          <w:sz w:val="22"/>
          <w:szCs w:val="22"/>
        </w:rPr>
        <w:t xml:space="preserve">US International Trade Administration (2025): Indonesia Country Commercial Guide — Mining sector $2.5B, 8.1% CAGR</w:t>
      </w:r>
    </w:p>
    <w:p>
      <w:pPr>
        <w:pStyle w:val="ListParagraph"/>
        <w:numPr>
          <w:ilvl w:val="0"/>
          <w:numId w:val="2"/>
        </w:numPr>
        <w:spacing w:after="40" w:before="40"/>
      </w:pPr>
      <w:r>
        <w:rPr>
          <w:rFonts w:ascii="Arial" w:cs="Arial" w:eastAsia="Arial" w:hAnsi="Arial"/>
          <w:color w:val="334155"/>
          <w:sz w:val="22"/>
          <w:szCs w:val="22"/>
        </w:rPr>
        <w:t xml:space="preserve">Argus Media (Dec 2025): Indonesia Nickel MHP — capacity nearly doubling to 862,000 t/yr in 2026</w:t>
      </w:r>
    </w:p>
    <w:p>
      <w:pPr>
        <w:pStyle w:val="ListParagraph"/>
        <w:numPr>
          <w:ilvl w:val="0"/>
          <w:numId w:val="2"/>
        </w:numPr>
        <w:spacing w:after="40" w:before="40"/>
      </w:pPr>
      <w:r>
        <w:rPr>
          <w:rFonts w:ascii="Arial" w:cs="Arial" w:eastAsia="Arial" w:hAnsi="Arial"/>
          <w:color w:val="334155"/>
          <w:sz w:val="22"/>
          <w:szCs w:val="22"/>
        </w:rPr>
        <w:t xml:space="preserve">IEEFA Report (Oct 2024): Indonesian nickel companies — 80% capacity expansion, emission intensity 60 tCO2/tNi (ferronickel)</w:t>
      </w:r>
    </w:p>
    <w:p>
      <w:pPr>
        <w:spacing w:after="0" w:before="80"/>
        <w:jc w:val="left"/>
      </w:pPr>
      <w:r>
        <w:rPr>
          <w:rFonts w:ascii="Arial" w:cs="Arial" w:eastAsia="Arial" w:hAnsi="Arial"/>
          <w:b w:val="false"/>
          <w:bCs w:val="false"/>
          <w:color w:val="334155"/>
          <w:sz w:val="22"/>
          <w:szCs w:val="22"/>
        </w:rPr>
        <w:t xml:space="preserve"/>
      </w:r>
    </w:p>
    <w:p>
      <w:pPr>
        <w:pStyle w:val="Heading2"/>
        <w:pBdr>
          <w:bottom w:val="single" w:color="003478" w:sz="8" w:space="4"/>
        </w:pBdr>
        <w:spacing w:after="100" w:before="280"/>
      </w:pPr>
      <w:r>
        <w:rPr>
          <w:rFonts w:ascii="Arial" w:cs="Arial" w:eastAsia="Arial" w:hAnsi="Arial"/>
          <w:b/>
          <w:bCs/>
          <w:color w:val="003478"/>
          <w:sz w:val="28"/>
          <w:szCs w:val="28"/>
        </w:rPr>
        <w:t xml:space="preserve">B.  Technology Research Sources</w:t>
      </w:r>
    </w:p>
    <w:p>
      <w:pPr>
        <w:pStyle w:val="ListParagraph"/>
        <w:numPr>
          <w:ilvl w:val="0"/>
          <w:numId w:val="2"/>
        </w:numPr>
        <w:spacing w:after="40" w:before="40"/>
      </w:pPr>
      <w:r>
        <w:rPr>
          <w:rFonts w:ascii="Arial" w:cs="Arial" w:eastAsia="Arial" w:hAnsi="Arial"/>
          <w:color w:val="334155"/>
          <w:sz w:val="22"/>
          <w:szCs w:val="22"/>
        </w:rPr>
        <w:t xml:space="preserve">Oxmaint (Mar 2026): Predictive Maintenance Trends for Steel Industry 2026 — AI, IIoT &amp; Digital Twins</w:t>
      </w:r>
    </w:p>
    <w:p>
      <w:pPr>
        <w:pStyle w:val="ListParagraph"/>
        <w:numPr>
          <w:ilvl w:val="0"/>
          <w:numId w:val="2"/>
        </w:numPr>
        <w:spacing w:after="40" w:before="40"/>
      </w:pPr>
      <w:r>
        <w:rPr>
          <w:rFonts w:ascii="Arial" w:cs="Arial" w:eastAsia="Arial" w:hAnsi="Arial"/>
          <w:color w:val="334155"/>
          <w:sz w:val="22"/>
          <w:szCs w:val="22"/>
        </w:rPr>
        <w:t xml:space="preserve">IIoT World (Mar 2026): Industrial AI Predictive Maintenance: Best Use Cases &amp; ROI</w:t>
      </w:r>
    </w:p>
    <w:p>
      <w:pPr>
        <w:pStyle w:val="ListParagraph"/>
        <w:numPr>
          <w:ilvl w:val="0"/>
          <w:numId w:val="2"/>
        </w:numPr>
        <w:spacing w:after="40" w:before="40"/>
      </w:pPr>
      <w:r>
        <w:rPr>
          <w:rFonts w:ascii="Arial" w:cs="Arial" w:eastAsia="Arial" w:hAnsi="Arial"/>
          <w:color w:val="334155"/>
          <w:sz w:val="22"/>
          <w:szCs w:val="22"/>
        </w:rPr>
        <w:t xml:space="preserve">Factory AI / f7i.ai (Feb 2026): Digital Twin Definition — The Definitive Guide 2026 (Cognitive Digital Twin concept)</w:t>
      </w:r>
    </w:p>
    <w:p>
      <w:pPr>
        <w:pStyle w:val="ListParagraph"/>
        <w:numPr>
          <w:ilvl w:val="0"/>
          <w:numId w:val="2"/>
        </w:numPr>
        <w:spacing w:after="40" w:before="40"/>
      </w:pPr>
      <w:r>
        <w:rPr>
          <w:rFonts w:ascii="Arial" w:cs="Arial" w:eastAsia="Arial" w:hAnsi="Arial"/>
          <w:color w:val="334155"/>
          <w:sz w:val="22"/>
          <w:szCs w:val="22"/>
        </w:rPr>
        <w:t xml:space="preserve">ARC Forum 2026 Edition: Operational Resilience in the Face of Global Headwinds</w:t>
      </w:r>
    </w:p>
    <w:p>
      <w:pPr>
        <w:pStyle w:val="ListParagraph"/>
        <w:numPr>
          <w:ilvl w:val="0"/>
          <w:numId w:val="2"/>
        </w:numPr>
        <w:spacing w:after="40" w:before="40"/>
      </w:pPr>
      <w:r>
        <w:rPr>
          <w:rFonts w:ascii="Arial" w:cs="Arial" w:eastAsia="Arial" w:hAnsi="Arial"/>
          <w:color w:val="334155"/>
          <w:sz w:val="22"/>
          <w:szCs w:val="22"/>
        </w:rPr>
        <w:t xml:space="preserve">arXiv (Sep 2025): Digital Twin-Driven Predictive Maintenance in Industrial Engineering — Systematic Review</w:t>
      </w:r>
    </w:p>
    <w:p>
      <w:pPr>
        <w:pStyle w:val="ListParagraph"/>
        <w:numPr>
          <w:ilvl w:val="0"/>
          <w:numId w:val="2"/>
        </w:numPr>
        <w:spacing w:after="40" w:before="40"/>
      </w:pPr>
      <w:r>
        <w:rPr>
          <w:rFonts w:ascii="Arial" w:cs="Arial" w:eastAsia="Arial" w:hAnsi="Arial"/>
          <w:color w:val="334155"/>
          <w:sz w:val="22"/>
          <w:szCs w:val="22"/>
        </w:rPr>
        <w:t xml:space="preserve">RT Insights (Apr 2026): Smart Manufacturing Trends 2026</w:t>
      </w:r>
    </w:p>
    <w:p>
      <w:pPr>
        <w:pStyle w:val="ListParagraph"/>
        <w:numPr>
          <w:ilvl w:val="0"/>
          <w:numId w:val="2"/>
        </w:numPr>
        <w:spacing w:after="40" w:before="40"/>
      </w:pPr>
      <w:r>
        <w:rPr>
          <w:rFonts w:ascii="Arial" w:cs="Arial" w:eastAsia="Arial" w:hAnsi="Arial"/>
          <w:color w:val="334155"/>
          <w:sz w:val="22"/>
          <w:szCs w:val="22"/>
        </w:rPr>
        <w:t xml:space="preserve">S&amp;P Global (2025): Indonesia nickel AISC and production outlook to 2035</w:t>
      </w:r>
    </w:p>
    <w:p>
      <w:pPr>
        <w:spacing w:after="0" w:before="80"/>
        <w:jc w:val="left"/>
      </w:pPr>
      <w:r>
        <w:rPr>
          <w:rFonts w:ascii="Arial" w:cs="Arial" w:eastAsia="Arial" w:hAnsi="Arial"/>
          <w:b w:val="false"/>
          <w:bCs w:val="false"/>
          <w:color w:val="334155"/>
          <w:sz w:val="22"/>
          <w:szCs w:val="22"/>
        </w:rPr>
        <w:t xml:space="preserve"/>
      </w:r>
    </w:p>
    <w:p>
      <w:pPr>
        <w:pStyle w:val="Heading2"/>
        <w:pBdr>
          <w:bottom w:val="single" w:color="003478" w:sz="8" w:space="4"/>
        </w:pBdr>
        <w:spacing w:after="100" w:before="280"/>
      </w:pPr>
      <w:r>
        <w:rPr>
          <w:rFonts w:ascii="Arial" w:cs="Arial" w:eastAsia="Arial" w:hAnsi="Arial"/>
          <w:b/>
          <w:bCs/>
          <w:color w:val="003478"/>
          <w:sz w:val="28"/>
          <w:szCs w:val="28"/>
        </w:rPr>
        <w:t xml:space="preserve">C.  Standards Referenced in Product Concepts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rPr>
          <w:tblHeader/>
        </w:trPr>
        <w:tc>
          <w:tcPr>
            <w:tcW w:type="dxa" w:w="2000"/>
            <w:tcBorders>
              <w:top w:val="single" w:color="003478" w:sz="1"/>
              <w:left w:val="single" w:color="003478" w:sz="1"/>
              <w:bottom w:val="single" w:color="003478" w:sz="1"/>
              <w:right w:val="single" w:color="003478" w:sz="1"/>
            </w:tcBorders>
            <w:shd w:fill="003478" w:val="clear"/>
            <w:tcMar>
              <w:top w:type="dxa" w:w="100"/>
              <w:left w:type="dxa" w:w="140"/>
              <w:bottom w:type="dxa" w:w="100"/>
              <w:right w:type="dxa" w:w="140"/>
            </w:tcMar>
          </w:tcPr>
          <w:p>
            <w:r>
              <w:rPr>
                <w:rFonts w:ascii="Arial" w:cs="Arial" w:eastAsia="Arial" w:hAnsi="Arial"/>
                <w:b/>
                <w:bCs/>
                <w:color w:val="FFFFFF"/>
                <w:sz w:val="20"/>
                <w:szCs w:val="20"/>
              </w:rPr>
              <w:t xml:space="preserve">Standard</w:t>
            </w:r>
          </w:p>
        </w:tc>
        <w:tc>
          <w:tcPr>
            <w:tcW w:type="dxa" w:w="4026"/>
            <w:tcBorders>
              <w:top w:val="single" w:color="003478" w:sz="1"/>
              <w:left w:val="single" w:color="003478" w:sz="1"/>
              <w:bottom w:val="single" w:color="003478" w:sz="1"/>
              <w:right w:val="single" w:color="003478" w:sz="1"/>
            </w:tcBorders>
            <w:shd w:fill="003478" w:val="clear"/>
            <w:tcMar>
              <w:top w:type="dxa" w:w="100"/>
              <w:left w:type="dxa" w:w="140"/>
              <w:bottom w:type="dxa" w:w="100"/>
              <w:right w:type="dxa" w:w="140"/>
            </w:tcMar>
          </w:tcPr>
          <w:p>
            <w:r>
              <w:rPr>
                <w:rFonts w:ascii="Arial" w:cs="Arial" w:eastAsia="Arial" w:hAnsi="Arial"/>
                <w:b/>
                <w:bCs/>
                <w:color w:val="FFFFFF"/>
                <w:sz w:val="20"/>
                <w:szCs w:val="20"/>
              </w:rPr>
              <w:t xml:space="preserve">Title</w:t>
            </w:r>
          </w:p>
        </w:tc>
        <w:tc>
          <w:tcPr>
            <w:tcW w:type="dxa" w:w="3000"/>
            <w:tcBorders>
              <w:top w:val="single" w:color="003478" w:sz="1"/>
              <w:left w:val="single" w:color="003478" w:sz="1"/>
              <w:bottom w:val="single" w:color="003478" w:sz="1"/>
              <w:right w:val="single" w:color="003478" w:sz="1"/>
            </w:tcBorders>
            <w:shd w:fill="003478" w:val="clear"/>
            <w:tcMar>
              <w:top w:type="dxa" w:w="100"/>
              <w:left w:type="dxa" w:w="140"/>
              <w:bottom w:type="dxa" w:w="100"/>
              <w:right w:type="dxa" w:w="140"/>
            </w:tcMar>
          </w:tcPr>
          <w:p>
            <w:r>
              <w:rPr>
                <w:rFonts w:ascii="Arial" w:cs="Arial" w:eastAsia="Arial" w:hAnsi="Arial"/>
                <w:b/>
                <w:bCs/>
                <w:color w:val="FFFFFF"/>
                <w:sz w:val="20"/>
                <w:szCs w:val="20"/>
              </w:rPr>
              <w:t xml:space="preserve">Relevant Module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ISO 14224</w:t>
            </w:r>
          </w:p>
        </w:tc>
        <w:tc>
          <w:tcPr>
            <w:tcW w:type="dxa" w:w="4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Reliability and maintenance data for equipment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Asset Register, FMEA, RCM, Digital Twin</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API RP 580/581</w:t>
            </w:r>
          </w:p>
        </w:tc>
        <w:tc>
          <w:tcPr>
            <w:tcW w:type="dxa" w:w="40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Risk-Based Inspection (qualitative/quantitative)</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RBI Module, Inspector Pro, FFS Engine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API 579-1/ASME FFS-1</w:t>
            </w:r>
          </w:p>
        </w:tc>
        <w:tc>
          <w:tcPr>
            <w:tcW w:type="dxa" w:w="4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Fitness-for-Service assessment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Structural Integrity Engine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SAE JA1011/1012</w:t>
            </w:r>
          </w:p>
        </w:tc>
        <w:tc>
          <w:tcPr>
            <w:tcW w:type="dxa" w:w="40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Reliability-Centered Maintenance standard</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RCM Module, Xellena</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NORSOK D-010</w:t>
            </w:r>
          </w:p>
        </w:tc>
        <w:tc>
          <w:tcPr>
            <w:tcW w:type="dxa" w:w="4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Well integrity management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Well Integrity Module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ISO 16530-1</w:t>
            </w:r>
          </w:p>
        </w:tc>
        <w:tc>
          <w:tcPr>
            <w:tcW w:type="dxa" w:w="40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Well integrity — life cycle governance</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Well Integrity Module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IEC 61508/61511</w:t>
            </w:r>
          </w:p>
        </w:tc>
        <w:tc>
          <w:tcPr>
            <w:tcW w:type="dxa" w:w="4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Functional Safety / SIS / SIL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SECE Module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ISO 17776</w:t>
            </w:r>
          </w:p>
        </w:tc>
        <w:tc>
          <w:tcPr>
            <w:tcW w:type="dxa" w:w="40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Major accident hazard management</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SECE, Satellite HSSE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GHG Protocol</w:t>
            </w:r>
          </w:p>
        </w:tc>
        <w:tc>
          <w:tcPr>
            <w:tcW w:type="dxa" w:w="4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Corporate accounting and reporting standard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Carbon/ESG Module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EU Battery Regulation 2023/1542</w:t>
            </w:r>
          </w:p>
        </w:tc>
        <w:tc>
          <w:tcPr>
            <w:tcW w:type="dxa" w:w="40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Carbon footprint declaration for batteries</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334155"/>
                <w:sz w:val="20"/>
                <w:szCs w:val="20"/>
              </w:rPr>
              <w:t xml:space="preserve">Carbon/ESG Module</w:t>
            </w:r>
          </w:p>
        </w:tc>
      </w:tr>
    </w:tbl>
    <w:p>
      <w:pPr>
        <w:spacing w:after="0" w:before="80"/>
        <w:jc w:val="left"/>
      </w:pPr>
      <w:r>
        <w:rPr>
          <w:rFonts w:ascii="Arial" w:cs="Arial" w:eastAsia="Arial" w:hAnsi="Arial"/>
          <w:b w:val="false"/>
          <w:bCs w:val="false"/>
          <w:color w:val="334155"/>
          <w:sz w:val="22"/>
          <w:szCs w:val="22"/>
        </w:rPr>
        <w:t xml:space="preserve"/>
      </w:r>
    </w:p>
    <w:p>
      <w:pPr>
        <w:pStyle w:val="Heading2"/>
        <w:pBdr>
          <w:bottom w:val="single" w:color="003478" w:sz="8" w:space="4"/>
        </w:pBdr>
        <w:spacing w:after="100" w:before="280"/>
      </w:pPr>
      <w:r>
        <w:rPr>
          <w:rFonts w:ascii="Arial" w:cs="Arial" w:eastAsia="Arial" w:hAnsi="Arial"/>
          <w:b/>
          <w:bCs/>
          <w:color w:val="003478"/>
          <w:sz w:val="28"/>
          <w:szCs w:val="28"/>
        </w:rPr>
        <w:t xml:space="preserve">D.  Competitive Landscape — Key Players to Monitor</w:t>
      </w:r>
    </w:p>
    <w:p>
      <w:pPr>
        <w:pStyle w:val="ListParagraph"/>
        <w:numPr>
          <w:ilvl w:val="0"/>
          <w:numId w:val="2"/>
        </w:numPr>
        <w:spacing w:after="40" w:before="40"/>
      </w:pPr>
      <w:r>
        <w:rPr>
          <w:rFonts w:ascii="Arial" w:cs="Arial" w:eastAsia="Arial" w:hAnsi="Arial"/>
          <w:color w:val="334155"/>
          <w:sz w:val="22"/>
          <w:szCs w:val="22"/>
        </w:rPr>
        <w:t xml:space="preserve">AspenTech (USA) — Asset Performance Management suite, moving into Indonesia market with Pertamina partnership</w:t>
      </w:r>
    </w:p>
    <w:p>
      <w:pPr>
        <w:pStyle w:val="ListParagraph"/>
        <w:numPr>
          <w:ilvl w:val="0"/>
          <w:numId w:val="2"/>
        </w:numPr>
        <w:spacing w:after="40" w:before="40"/>
      </w:pPr>
      <w:r>
        <w:rPr>
          <w:rFonts w:ascii="Arial" w:cs="Arial" w:eastAsia="Arial" w:hAnsi="Arial"/>
          <w:color w:val="334155"/>
          <w:sz w:val="22"/>
          <w:szCs w:val="22"/>
        </w:rPr>
        <w:t xml:space="preserve">IBM Maximo Application Suite — CMMS dominant, now adding AI via IBM Watson</w:t>
      </w:r>
    </w:p>
    <w:p>
      <w:pPr>
        <w:pStyle w:val="ListParagraph"/>
        <w:numPr>
          <w:ilvl w:val="0"/>
          <w:numId w:val="2"/>
        </w:numPr>
        <w:spacing w:after="40" w:before="40"/>
      </w:pPr>
      <w:r>
        <w:rPr>
          <w:rFonts w:ascii="Arial" w:cs="Arial" w:eastAsia="Arial" w:hAnsi="Arial"/>
          <w:color w:val="334155"/>
          <w:sz w:val="22"/>
          <w:szCs w:val="22"/>
        </w:rPr>
        <w:t xml:space="preserve">SAP PM / SAP S/4HANA Asset Management — enterprise backbone for large clients</w:t>
      </w:r>
    </w:p>
    <w:p>
      <w:pPr>
        <w:pStyle w:val="ListParagraph"/>
        <w:numPr>
          <w:ilvl w:val="0"/>
          <w:numId w:val="2"/>
        </w:numPr>
        <w:spacing w:after="40" w:before="40"/>
      </w:pPr>
      <w:r>
        <w:rPr>
          <w:rFonts w:ascii="Arial" w:cs="Arial" w:eastAsia="Arial" w:hAnsi="Arial"/>
          <w:color w:val="334155"/>
          <w:sz w:val="22"/>
          <w:szCs w:val="22"/>
        </w:rPr>
        <w:t xml:space="preserve">Hexagon Asset Lifecycle Intelligence (formerly Intergraph) — strong in O&amp;G engineering data management</w:t>
      </w:r>
    </w:p>
    <w:p>
      <w:pPr>
        <w:pStyle w:val="ListParagraph"/>
        <w:numPr>
          <w:ilvl w:val="0"/>
          <w:numId w:val="2"/>
        </w:numPr>
        <w:spacing w:after="40" w:before="40"/>
      </w:pPr>
      <w:r>
        <w:rPr>
          <w:rFonts w:ascii="Arial" w:cs="Arial" w:eastAsia="Arial" w:hAnsi="Arial"/>
          <w:color w:val="334155"/>
          <w:sz w:val="22"/>
          <w:szCs w:val="22"/>
        </w:rPr>
        <w:t xml:space="preserve">Meridium / GE Vernova APM — RBI and reliability analytics for heavy industry</w:t>
      </w:r>
    </w:p>
    <w:p>
      <w:pPr>
        <w:pStyle w:val="ListParagraph"/>
        <w:numPr>
          <w:ilvl w:val="0"/>
          <w:numId w:val="2"/>
        </w:numPr>
        <w:spacing w:after="40" w:before="40"/>
      </w:pPr>
      <w:r>
        <w:rPr>
          <w:rFonts w:ascii="Arial" w:cs="Arial" w:eastAsia="Arial" w:hAnsi="Arial"/>
          <w:color w:val="334155"/>
          <w:sz w:val="22"/>
          <w:szCs w:val="22"/>
        </w:rPr>
        <w:t xml:space="preserve">DNV Digital Solutions (Synergi Life) — process safety and barrier management</w:t>
      </w:r>
    </w:p>
    <w:p>
      <w:pPr>
        <w:pStyle w:val="ListParagraph"/>
        <w:numPr>
          <w:ilvl w:val="0"/>
          <w:numId w:val="2"/>
        </w:numPr>
        <w:spacing w:after="40" w:before="40"/>
      </w:pPr>
      <w:r>
        <w:rPr>
          <w:rFonts w:ascii="Arial" w:cs="Arial" w:eastAsia="Arial" w:hAnsi="Arial"/>
          <w:color w:val="334155"/>
          <w:sz w:val="22"/>
          <w:szCs w:val="22"/>
        </w:rPr>
        <w:t xml:space="preserve">Akselos — physics-based structural integrity AI (direct competitor to FFS Engine concept)</w:t>
      </w:r>
    </w:p>
    <w:p>
      <w:pPr>
        <w:spacing w:after="80" w:before="80"/>
        <w:jc w:val="left"/>
      </w:pPr>
      <w:r>
        <w:rPr>
          <w:rFonts w:ascii="Arial" w:cs="Arial" w:eastAsia="Arial" w:hAnsi="Arial"/>
          <w:b w:val="false"/>
          <w:bCs w:val="false"/>
          <w:color w:val="334155"/>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single" w:color="003478" w:sz="1"/>
              <w:left w:val="single" w:color="003478" w:sz="1"/>
              <w:bottom w:val="single" w:color="003478" w:sz="1"/>
              <w:right w:val="single" w:color="003478" w:sz="1"/>
            </w:tcBorders>
            <w:shd w:fill="DBEAFE" w:val="clear"/>
            <w:tcMar>
              <w:top w:type="dxa" w:w="80"/>
              <w:left w:type="dxa" w:w="160"/>
              <w:bottom w:type="dxa" w:w="40"/>
              <w:right w:type="dxa" w:w="160"/>
            </w:tcMar>
          </w:tcPr>
          <w:p>
            <w:r>
              <w:rPr>
                <w:rFonts w:ascii="Arial" w:cs="Arial" w:eastAsia="Arial" w:hAnsi="Arial"/>
                <w:b/>
                <w:bCs/>
                <w:color w:val="003478"/>
                <w:sz w:val="18"/>
                <w:szCs w:val="18"/>
              </w:rPr>
              <w:t xml:space="preserve">COMPETITIVE MOAT SUMMARY</w:t>
            </w:r>
          </w:p>
        </w:tc>
      </w:tr>
      <w:tr>
        <w:tc>
          <w:tcPr>
            <w:tcBorders>
              <w:top w:val="single" w:color="003478" w:sz="1"/>
              <w:left w:val="single" w:color="003478" w:sz="1"/>
              <w:bottom w:val="single" w:color="003478" w:sz="1"/>
              <w:right w:val="single" w:color="003478" w:sz="1"/>
            </w:tcBorders>
            <w:shd w:fill="DBEAFE" w:val="clear"/>
            <w:tcMar>
              <w:top w:type="dxa" w:w="80"/>
              <w:left w:type="dxa" w:w="160"/>
              <w:bottom w:type="dxa" w:w="80"/>
              <w:right w:type="dxa" w:w="160"/>
            </w:tcMar>
          </w:tcPr>
          <w:p>
            <w:pPr>
              <w:spacing w:after="0" w:before="0"/>
            </w:pPr>
            <w:r>
              <w:rPr>
                <w:rFonts w:ascii="Arial" w:cs="Arial" w:eastAsia="Arial" w:hAnsi="Arial"/>
                <w:color w:val="334155"/>
                <w:sz w:val="21"/>
                <w:szCs w:val="21"/>
              </w:rPr>
              <w:t xml:space="preserve">CRI's sustainable advantage is not in any single feature — it is in the combination of local regulatory knowledge, Bahasa Indonesia support, customizability, and integration with the Indonesian industrial ecosystem (SKK Migas, ESDM, PLN procurement processes). No global player can replicate this without years of local presence.</w:t>
            </w:r>
          </w:p>
        </w:tc>
      </w:tr>
    </w:tbl>
    <w:p>
      <w:pPr>
        <w:spacing w:after="0" w:before="160"/>
        <w:jc w:val="left"/>
      </w:pPr>
      <w:r>
        <w:rPr>
          <w:rFonts w:ascii="Arial" w:cs="Arial" w:eastAsia="Arial" w:hAnsi="Arial"/>
          <w:b w:val="false"/>
          <w:bCs w:val="false"/>
          <w:color w:val="334155"/>
          <w:sz w:val="22"/>
          <w:szCs w:val="22"/>
        </w:rPr>
        <w:t xml:space="preserve"/>
      </w:r>
    </w:p>
    <w:p>
      <w:pPr>
        <w:pBdr>
          <w:top w:val="single" w:color="CBD5E1" w:sz="3" w:space="4"/>
        </w:pBdr>
        <w:spacing w:after="0" w:before="0"/>
        <w:jc w:val="center"/>
      </w:pPr>
      <w:r>
        <w:rPr>
          <w:rFonts w:ascii="Arial" w:cs="Arial" w:eastAsia="Arial" w:hAnsi="Arial"/>
          <w:color w:val="64748B"/>
          <w:sz w:val="18"/>
          <w:szCs w:val="18"/>
        </w:rPr>
        <w:t xml:space="preserve">PT Cliste Rekayasa Indonesia  ·  Internal Confidential Document  ·  June 2026</w:t>
      </w:r>
    </w:p>
    <w:sectPr>
      <w:headerReference w:type="default" r:id="rId7"/>
      <w:footerReference w:type="default" r:id="rId8"/>
      <w:pgSz w:w="12240" w:h="15840"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tabs>
        <w:tab w:val="right" w:pos="9026"/>
      </w:tabs>
      <w:spacing w:after="0" w:before="0"/>
    </w:pPr>
    <w:r>
      <w:rPr>
        <w:rFonts w:ascii="Arial" w:cs="Arial" w:eastAsia="Arial" w:hAnsi="Arial"/>
        <w:color w:val="64748B"/>
        <w:sz w:val="16"/>
        <w:szCs w:val="16"/>
      </w:rPr>
      <w:t xml:space="preserve">PT Cliste Rekayasa Indonesia  ·  June 2026</w:t>
    </w:r>
    <w:r>
      <w:rPr>
        <w:rFonts w:ascii="Arial" w:cs="Arial" w:eastAsia="Arial" w:hAnsi="Arial"/>
        <w:color w:val="64748B"/>
        <w:sz w:val="16"/>
        <w:szCs w:val="16"/>
      </w:rPr>
      <w:t xml:space="preserve">	Page </w:t>
    </w:r>
    <w:fldSimple w:instr="PAGE">
      <w:r>
        <w:rPr>
          <w:rFonts w:ascii="Arial" w:cs="Arial" w:eastAsia="Arial" w:hAnsi="Arial"/>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478" w:sz="4" w:space="4"/>
      </w:pBdr>
      <w:spacing w:after="0" w:before="0"/>
    </w:pPr>
    <w:r>
      <w:rPr>
        <w:rFonts w:ascii="Arial" w:cs="Arial" w:eastAsia="Arial" w:hAnsi="Arial"/>
        <w:color w:val="64748B"/>
        <w:sz w:val="18"/>
        <w:szCs w:val="18"/>
      </w:rPr>
      <w:t xml:space="preserve">CRI Technology Strategy &amp; Product Roadmap  </w:t>
    </w:r>
    <w:r>
      <w:rPr>
        <w:rFonts w:ascii="Arial" w:cs="Arial" w:eastAsia="Arial" w:hAnsi="Arial"/>
        <w:color w:val="CBD5E1"/>
        <w:sz w:val="18"/>
        <w:szCs w:val="18"/>
      </w:rPr>
      <w:t xml:space="preserve">|  </w:t>
    </w:r>
    <w:r>
      <w:rPr>
        <w:rFonts w:ascii="Arial" w:cs="Arial" w:eastAsia="Arial" w:hAnsi="Arial"/>
        <w:b/>
        <w:bCs/>
        <w:color w:val="003478"/>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rFonts w:ascii="Arial" w:cs="Arial" w:eastAsia="Arial" w:hAnsi="Arial"/>
        <w:color w:val="003478"/>
        <w:sz w:val="22"/>
        <w:szCs w:val="22"/>
      </w:rPr>
    </w:lvl>
    <w:lvl w:ilvl="1" w15:tentative="1">
      <w:start w:val="1"/>
      <w:numFmt w:val="bullet"/>
      <w:lvlText w:val="○"/>
      <w:lvlJc w:val="left"/>
      <w:pPr>
        <w:ind w:left="900" w:hanging="300"/>
      </w:pPr>
      <w:rPr>
        <w:rFonts w:ascii="Arial" w:cs="Arial" w:eastAsia="Arial" w:hAnsi="Arial"/>
        <w:color w:val="64748B"/>
        <w:sz w:val="20"/>
        <w:szCs w:val="20"/>
      </w:rPr>
    </w:lvl>
  </w:abstractNum>
  <w:abstractNum w:abstractNumId="3" w15:restartNumberingAfterBreak="0">
    <w:multiLevelType w:val="hybridMultilevel"/>
    <w:lvl w:ilvl="0" w15:tentative="1">
      <w:start w:val="1"/>
      <w:numFmt w:val="decimal"/>
      <w:lvlText w:val="%1."/>
      <w:lvlJc w:val="left"/>
      <w:pPr>
        <w:ind w:left="540" w:hanging="300"/>
      </w:pPr>
      <w:rPr>
        <w:rFonts w:ascii="Arial" w:cs="Arial" w:eastAsia="Arial" w:hAnsi="Arial"/>
        <w:color w:val="334155"/>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003478"/>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2026-06-12T18:36:01.363Z</dcterms:created>
  <dcterms:modified xsi:type="dcterms:W3CDTF">2026-06-12T18:36:01.376Z</dcterms:modified>
</cp:coreProperties>
</file>

<file path=docProps/custom.xml><?xml version="1.0" encoding="utf-8"?>
<Properties xmlns="http://schemas.openxmlformats.org/officeDocument/2006/custom-properties" xmlns:vt="http://schemas.openxmlformats.org/officeDocument/2006/docPropsVTypes"/>
</file>