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B4F72"/>
          <w:sz w:val="44"/>
          <w:szCs w:val="44"/>
        </w:rPr>
        <w:t xml:space="preserve">PROPOSAL TEKNIS &amp; BISNIS</w:t>
      </w:r>
    </w:p>
    <w:p>
      <w:pPr>
        <w:spacing w:after="100" w:before="100"/>
        <w:jc w:val="center"/>
      </w:pPr>
      <w:r>
        <w:rPr>
          <w:rFonts w:ascii="Arial" w:cs="Arial" w:eastAsia="Arial" w:hAnsi="Arial"/>
          <w:color w:val="2E86C1"/>
          <w:sz w:val="32"/>
          <w:szCs w:val="32"/>
        </w:rPr>
        <w:t xml:space="preserve">Sistem Peringatan Dini (Early Warning System) HSSE</w:t>
      </w:r>
    </w:p>
    <w:p>
      <w:pPr>
        <w:spacing w:after="60" w:before="60"/>
        <w:jc w:val="center"/>
      </w:pPr>
      <w:r>
        <w:rPr>
          <w:rFonts w:ascii="Arial" w:cs="Arial" w:eastAsia="Arial" w:hAnsi="Arial"/>
          <w:color w:val="2E86C1"/>
          <w:sz w:val="28"/>
          <w:szCs w:val="28"/>
        </w:rPr>
        <w:t xml:space="preserve">Berbasis Citra Satelit &amp; Kecerdasan Buatan</w:t>
      </w:r>
    </w:p>
    <w:p>
      <w:pPr>
        <w:spacing w:after="80" w:before="80"/>
      </w:pPr>
      <w:r>
        <w:t xml:space="preserve"/>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color w:val="888888"/>
                <w:sz w:val="20"/>
                <w:szCs w:val="20"/>
              </w:rPr>
              <w:t xml:space="preserve">Prepared for:</w:t>
            </w:r>
          </w:p>
        </w:tc>
        <w:tc>
          <w:tcPr>
            <w:tcW w:type="dxa" w:w="300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color w:val="888888"/>
                <w:sz w:val="20"/>
                <w:szCs w:val="20"/>
              </w:rPr>
              <w:t xml:space="preserve">Prepared by:</w:t>
            </w:r>
          </w:p>
        </w:tc>
      </w:tr>
      <w:tr>
        <w:tc>
          <w:tcPr>
            <w:tcW w:type="dxa" w:w="3000"/>
            <w:tcBorders>
              <w:top w:val="none" w:color="FFFFFF" w:sz="0"/>
              <w:left w:val="none" w:color="FFFFFF" w:sz="0"/>
              <w:bottom w:val="none" w:color="FFFFFF" w:sz="0"/>
              <w:right w:val="none" w:color="FFFFFF" w:sz="0"/>
            </w:tcBorders>
            <w:tcMar>
              <w:top w:type="dxa" w:w="0"/>
              <w:left w:type="dxa" w:w="140"/>
              <w:bottom w:type="dxa" w:w="80"/>
              <w:right w:type="dxa" w:w="100"/>
            </w:tcMar>
          </w:tcPr>
          <w:p>
            <w:r>
              <w:rPr>
                <w:rFonts w:ascii="Arial" w:cs="Arial" w:eastAsia="Arial" w:hAnsi="Arial"/>
                <w:b/>
                <w:bCs/>
                <w:color w:val="1B2631"/>
                <w:sz w:val="22"/>
                <w:szCs w:val="22"/>
              </w:rPr>
              <w:t xml:space="preserve">Konsultan HSSE</w:t>
            </w:r>
          </w:p>
        </w:tc>
        <w:tc>
          <w:tcPr>
            <w:tcW w:type="dxa" w:w="3000"/>
            <w:tcBorders>
              <w:top w:val="none" w:color="FFFFFF" w:sz="0"/>
              <w:left w:val="none" w:color="FFFFFF" w:sz="0"/>
              <w:bottom w:val="none" w:color="FFFFFF" w:sz="0"/>
              <w:right w:val="none" w:color="FFFFFF" w:sz="0"/>
            </w:tcBorders>
            <w:tcMar>
              <w:top w:type="dxa" w:w="0"/>
              <w:left w:type="dxa" w:w="140"/>
              <w:bottom w:type="dxa" w:w="80"/>
              <w:right w:type="dxa" w:w="100"/>
            </w:tcMar>
          </w:tcPr>
          <w:p>
            <w:r>
              <w:rPr>
                <w:rFonts w:ascii="Arial" w:cs="Arial" w:eastAsia="Arial" w:hAnsi="Arial"/>
                <w:b/>
                <w:bCs/>
                <w:color w:val="1B2631"/>
                <w:sz w:val="22"/>
                <w:szCs w:val="22"/>
              </w:rPr>
              <w:t xml:space="preserve">PT Cliste Rekayasa Indonesia</w:t>
            </w:r>
          </w:p>
        </w:tc>
      </w:tr>
      <w:tr>
        <w:tc>
          <w:tcPr>
            <w:tcW w:type="dxa" w:w="3000"/>
            <w:tcBorders>
              <w:top w:val="none" w:color="FFFFFF" w:sz="0"/>
              <w:left w:val="none" w:color="FFFFFF" w:sz="0"/>
              <w:bottom w:val="none" w:color="FFFFFF" w:sz="0"/>
              <w:right w:val="none" w:color="FFFFFF" w:sz="0"/>
            </w:tcBorders>
            <w:tcMar>
              <w:top w:type="dxa" w:w="0"/>
              <w:left w:type="dxa" w:w="140"/>
              <w:bottom w:type="dxa" w:w="80"/>
              <w:right w:type="dxa" w:w="100"/>
            </w:tcMar>
          </w:tcPr>
          <w:p>
            <w:r>
              <w:rPr>
                <w:rFonts w:ascii="Arial" w:cs="Arial" w:eastAsia="Arial" w:hAnsi="Arial"/>
                <w:color w:val="555555"/>
                <w:sz w:val="20"/>
                <w:szCs w:val="20"/>
              </w:rPr>
              <w:t xml:space="preserve">Industri Minyak &amp; Gas</w:t>
            </w:r>
          </w:p>
        </w:tc>
        <w:tc>
          <w:tcPr>
            <w:tcW w:type="dxa" w:w="3000"/>
            <w:tcBorders>
              <w:top w:val="none" w:color="FFFFFF" w:sz="0"/>
              <w:left w:val="none" w:color="FFFFFF" w:sz="0"/>
              <w:bottom w:val="none" w:color="FFFFFF" w:sz="0"/>
              <w:right w:val="none" w:color="FFFFFF" w:sz="0"/>
            </w:tcBorders>
            <w:tcMar>
              <w:top w:type="dxa" w:w="0"/>
              <w:left w:type="dxa" w:w="140"/>
              <w:bottom w:type="dxa" w:w="80"/>
              <w:right w:type="dxa" w:w="100"/>
            </w:tcMar>
          </w:tcPr>
          <w:p>
            <w:r>
              <w:rPr>
                <w:rFonts w:ascii="Arial" w:cs="Arial" w:eastAsia="Arial" w:hAnsi="Arial"/>
                <w:color w:val="555555"/>
                <w:sz w:val="20"/>
                <w:szCs w:val="20"/>
              </w:rPr>
              <w:t xml:space="preserve">2025</w:t>
            </w:r>
          </w:p>
        </w:tc>
      </w:tr>
    </w:tbl>
    <w:p>
      <w:r>
        <w:br w:type="page"/>
      </w:r>
    </w:p>
    <w:p>
      <w:pPr>
        <w:pStyle w:val="Heading1"/>
        <w:pBdr>
          <w:bottom w:val="single" w:color="2E86C1" w:sz="6" w:space="4"/>
        </w:pBdr>
        <w:spacing w:after="120" w:before="360"/>
      </w:pPr>
      <w:r>
        <w:rPr>
          <w:rFonts w:ascii="Arial" w:cs="Arial" w:eastAsia="Arial" w:hAnsi="Arial"/>
          <w:b/>
          <w:bCs/>
          <w:color w:val="1B4F72"/>
          <w:sz w:val="28"/>
          <w:szCs w:val="28"/>
        </w:rPr>
        <w:t xml:space="preserve">1. Ringkasan Eksekutif</w:t>
      </w:r>
    </w:p>
    <w:p>
      <w:pPr>
        <w:spacing w:after="100" w:before="60"/>
      </w:pPr>
      <w:r>
        <w:rPr>
          <w:rFonts w:ascii="Arial" w:cs="Arial" w:eastAsia="Arial" w:hAnsi="Arial"/>
          <w:color w:val="1B2631"/>
          <w:sz w:val="22"/>
          <w:szCs w:val="22"/>
        </w:rPr>
        <w:t xml:space="preserve">Industri minyak dan gas menghadapi dua ancaman operasional yang sulit dipantau secara konvensional: akumulasi gas metana yang berpotensi memicu kebakaran dan ledakan, serta pergerakan cuaca ekstrem yang dapat mengganggu operasional aset secara tiba-tiba.</w:t>
      </w:r>
    </w:p>
    <w:p>
      <w:pPr>
        <w:spacing w:after="80" w:before="80"/>
      </w:pPr>
      <w:r>
        <w:t xml:space="preserve"/>
      </w:r>
    </w:p>
    <w:p>
      <w:pPr>
        <w:spacing w:after="100" w:before="60"/>
      </w:pPr>
      <w:r>
        <w:rPr>
          <w:rFonts w:ascii="Arial" w:cs="Arial" w:eastAsia="Arial" w:hAnsi="Arial"/>
          <w:color w:val="1B2631"/>
          <w:sz w:val="22"/>
          <w:szCs w:val="22"/>
        </w:rPr>
        <w:t xml:space="preserve">PT Cliste Rekayasa Indonesia (CRI) menawarkan solusi Early Warning System (EWS) HSSE berbasis citra satelit dan kecerdasan buatan yang memungkinkan pemantauan kedua ancaman ini secara near real-time, tanpa memerlukan sensor fisik tambahan di lapangan.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2E86C1" w:sz="8"/>
              <w:bottom w:val="single" w:color="CCCCCC" w:sz="1"/>
              <w:right w:val="single" w:color="CCCCCC" w:sz="1"/>
            </w:tcBorders>
            <w:shd w:fill="EBF5FB" w:val="clear"/>
            <w:tcMar>
              <w:top w:type="dxa" w:w="120"/>
              <w:left w:type="dxa" w:w="200"/>
              <w:bottom w:type="dxa" w:w="120"/>
              <w:right w:type="dxa" w:w="200"/>
            </w:tcMar>
          </w:tcPr>
          <w:p>
            <w:pPr>
              <w:spacing w:after="80" w:before="60"/>
            </w:pPr>
            <w:r>
              <w:rPr>
                <w:rFonts w:ascii="Arial" w:cs="Arial" w:eastAsia="Arial" w:hAnsi="Arial"/>
                <w:b/>
                <w:bCs/>
                <w:color w:val="1B4F72"/>
                <w:sz w:val="22"/>
                <w:szCs w:val="22"/>
              </w:rPr>
              <w:t xml:space="preserve">Proposisi Nilai Utama</w:t>
            </w:r>
          </w:p>
          <w:p>
            <w:pPr>
              <w:pStyle w:val="ListParagraph"/>
              <w:numPr>
                <w:ilvl w:val="0"/>
                <w:numId w:val="2"/>
              </w:numPr>
              <w:spacing w:after="30" w:before="30"/>
            </w:pPr>
            <w:r>
              <w:rPr>
                <w:rFonts w:ascii="Arial" w:cs="Arial" w:eastAsia="Arial" w:hAnsi="Arial"/>
                <w:color w:val="1B2631"/>
                <w:sz w:val="20"/>
                <w:szCs w:val="20"/>
              </w:rPr>
              <w:t xml:space="preserve">Pemantauan metana &amp; cuaca berbasis satelit publik (zero sensor hardware cost)</w:t>
            </w:r>
          </w:p>
          <w:p>
            <w:pPr>
              <w:pStyle w:val="ListParagraph"/>
              <w:numPr>
                <w:ilvl w:val="0"/>
                <w:numId w:val="2"/>
              </w:numPr>
              <w:spacing w:after="30" w:before="30"/>
            </w:pPr>
            <w:r>
              <w:rPr>
                <w:rFonts w:ascii="Arial" w:cs="Arial" w:eastAsia="Arial" w:hAnsi="Arial"/>
                <w:color w:val="1B2631"/>
                <w:sz w:val="20"/>
                <w:szCs w:val="20"/>
              </w:rPr>
              <w:t xml:space="preserve">Deteksi anomali otomatis dengan notifikasi langsung ke tim HSSE lapangan</w:t>
            </w:r>
          </w:p>
          <w:p>
            <w:pPr>
              <w:pStyle w:val="ListParagraph"/>
              <w:numPr>
                <w:ilvl w:val="0"/>
                <w:numId w:val="2"/>
              </w:numPr>
              <w:spacing w:after="30" w:before="30"/>
            </w:pPr>
            <w:r>
              <w:rPr>
                <w:rFonts w:ascii="Arial" w:cs="Arial" w:eastAsia="Arial" w:hAnsi="Arial"/>
                <w:color w:val="1B2631"/>
                <w:sz w:val="20"/>
                <w:szCs w:val="20"/>
              </w:rPr>
              <w:t xml:space="preserve">Dashboard GIS interaktif untuk visualisasi kondisi aset secara terpusat</w:t>
            </w:r>
          </w:p>
          <w:p>
            <w:pPr>
              <w:pStyle w:val="ListParagraph"/>
              <w:numPr>
                <w:ilvl w:val="0"/>
                <w:numId w:val="2"/>
              </w:numPr>
              <w:spacing w:after="30" w:before="30"/>
            </w:pPr>
            <w:r>
              <w:rPr>
                <w:rFonts w:ascii="Arial" w:cs="Arial" w:eastAsia="Arial" w:hAnsi="Arial"/>
                <w:color w:val="1B2631"/>
                <w:sz w:val="20"/>
                <w:szCs w:val="20"/>
              </w:rPr>
              <w:t xml:space="preserve">Sistem yang dapat dikembangkan menjadi managed service untuk multiple aset</w:t>
            </w:r>
          </w:p>
        </w:tc>
      </w:tr>
    </w:tbl>
    <w:p>
      <w:pPr>
        <w:spacing w:after="80" w:before="80"/>
      </w:pPr>
      <w:r>
        <w:t xml:space="preserve"/>
      </w:r>
    </w:p>
    <w:p>
      <w:pPr>
        <w:pStyle w:val="Heading1"/>
        <w:pBdr>
          <w:bottom w:val="single" w:color="2E86C1" w:sz="6" w:space="4"/>
        </w:pBdr>
        <w:spacing w:after="120" w:before="360"/>
      </w:pPr>
      <w:r>
        <w:rPr>
          <w:rFonts w:ascii="Arial" w:cs="Arial" w:eastAsia="Arial" w:hAnsi="Arial"/>
          <w:b/>
          <w:bCs/>
          <w:color w:val="1B4F72"/>
          <w:sz w:val="28"/>
          <w:szCs w:val="28"/>
        </w:rPr>
        <w:t xml:space="preserve">2. Latar Belakang &amp; Permasalahan</w:t>
      </w:r>
    </w:p>
    <w:p>
      <w:pPr>
        <w:pStyle w:val="Heading2"/>
        <w:spacing w:after="100" w:before="280"/>
      </w:pPr>
      <w:r>
        <w:rPr>
          <w:rFonts w:ascii="Arial" w:cs="Arial" w:eastAsia="Arial" w:hAnsi="Arial"/>
          <w:b/>
          <w:bCs/>
          <w:color w:val="2E86C1"/>
          <w:sz w:val="24"/>
          <w:szCs w:val="24"/>
        </w:rPr>
        <w:t xml:space="preserve">2.1 Konteks Industri</w:t>
      </w:r>
    </w:p>
    <w:p>
      <w:pPr>
        <w:spacing w:after="100" w:before="60"/>
      </w:pPr>
      <w:r>
        <w:rPr>
          <w:rFonts w:ascii="Arial" w:cs="Arial" w:eastAsia="Arial" w:hAnsi="Arial"/>
          <w:color w:val="1B2631"/>
          <w:sz w:val="22"/>
          <w:szCs w:val="22"/>
        </w:rPr>
        <w:t xml:space="preserve">Aset migas — baik onshore (kilang, jaringan pipa) maupun offshore (rig, FPSO) — beroperasi di lingkungan dengan risiko tinggi yang membutuhkan pemantauan berkelanjutan. Dua kategori risiko yang paling kritis dari perspektif HSSE: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Kategori Risiko</w:t>
            </w:r>
          </w:p>
        </w:tc>
        <w:tc>
          <w:tcPr>
            <w:tcW w:type="dxa" w:w="388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Ancaman</w:t>
            </w:r>
          </w:p>
        </w:tc>
        <w:tc>
          <w:tcPr>
            <w:tcW w:type="dxa" w:w="388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Dampak Potensial</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00"/>
            </w:tcMar>
          </w:tcPr>
          <w:p>
            <w:r>
              <w:rPr>
                <w:rFonts w:ascii="Arial" w:cs="Arial" w:eastAsia="Arial" w:hAnsi="Arial"/>
                <w:b/>
                <w:bCs/>
                <w:color w:val="1B4F72"/>
                <w:sz w:val="20"/>
                <w:szCs w:val="20"/>
              </w:rPr>
              <w:t xml:space="preserve">Metana (CH4)</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Akumulasi gas dari kebocoran pipa, valve, atau fasilitas produksi. Gas metana tidak berwarna dan tidak berbau.</w:t>
            </w:r>
          </w:p>
        </w:tc>
        <w:tc>
          <w:tcPr>
            <w:tcW w:type="dxa" w:w="3880"/>
            <w:tcBorders>
              <w:top w:val="single" w:color="CCCCCC" w:sz="1"/>
              <w:left w:val="single" w:color="CCCCCC" w:sz="1"/>
              <w:bottom w:val="single" w:color="CCCCCC" w:sz="1"/>
              <w:right w:val="single" w:color="CCCCCC" w:sz="1"/>
            </w:tcBorders>
            <w:shd w:fill="FEF9F0" w:val="clear"/>
            <w:tcMar>
              <w:top w:type="dxa" w:w="80"/>
              <w:left w:type="dxa" w:w="140"/>
              <w:bottom w:type="dxa" w:w="80"/>
              <w:right w:type="dxa" w:w="100"/>
            </w:tcMar>
          </w:tcPr>
          <w:p>
            <w:r>
              <w:rPr>
                <w:rFonts w:ascii="Arial" w:cs="Arial" w:eastAsia="Arial" w:hAnsi="Arial"/>
                <w:color w:val="1B2631"/>
                <w:sz w:val="20"/>
                <w:szCs w:val="20"/>
              </w:rPr>
              <w:t xml:space="preserve">Kebakaran, ledakan, korban jiwa, kerusakan infrastruktur, denda regulasi, reputasi perusahaan.</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00"/>
            </w:tcMar>
          </w:tcPr>
          <w:p>
            <w:r>
              <w:rPr>
                <w:rFonts w:ascii="Arial" w:cs="Arial" w:eastAsia="Arial" w:hAnsi="Arial"/>
                <w:b/>
                <w:bCs/>
                <w:color w:val="1B4F72"/>
                <w:sz w:val="20"/>
                <w:szCs w:val="20"/>
              </w:rPr>
              <w:t xml:space="preserve">Cuaca Ekstrem</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Badai tropis, angin kencang, ombak tinggi (offshore), puting beliung yang bergerak mendekati area aset.</w:t>
            </w:r>
          </w:p>
        </w:tc>
        <w:tc>
          <w:tcPr>
            <w:tcW w:type="dxa" w:w="3880"/>
            <w:tcBorders>
              <w:top w:val="single" w:color="CCCCCC" w:sz="1"/>
              <w:left w:val="single" w:color="CCCCCC" w:sz="1"/>
              <w:bottom w:val="single" w:color="CCCCCC" w:sz="1"/>
              <w:right w:val="single" w:color="CCCCCC" w:sz="1"/>
            </w:tcBorders>
            <w:shd w:fill="FEF9F0" w:val="clear"/>
            <w:tcMar>
              <w:top w:type="dxa" w:w="80"/>
              <w:left w:type="dxa" w:w="140"/>
              <w:bottom w:type="dxa" w:w="80"/>
              <w:right w:type="dxa" w:w="100"/>
            </w:tcMar>
          </w:tcPr>
          <w:p>
            <w:r>
              <w:rPr>
                <w:rFonts w:ascii="Arial" w:cs="Arial" w:eastAsia="Arial" w:hAnsi="Arial"/>
                <w:color w:val="1B2631"/>
                <w:sz w:val="20"/>
                <w:szCs w:val="20"/>
              </w:rPr>
              <w:t xml:space="preserve">Gangguan operasional, kerusakan equipment, evakuasi darurat, potensi oil spill saat cuaca buruk.</w:t>
            </w:r>
          </w:p>
        </w:tc>
      </w:tr>
    </w:tbl>
    <w:p>
      <w:pPr>
        <w:spacing w:after="80" w:before="80"/>
      </w:pPr>
      <w:r>
        <w:t xml:space="preserve"/>
      </w:r>
    </w:p>
    <w:p>
      <w:pPr>
        <w:pStyle w:val="Heading2"/>
        <w:spacing w:after="100" w:before="280"/>
      </w:pPr>
      <w:r>
        <w:rPr>
          <w:rFonts w:ascii="Arial" w:cs="Arial" w:eastAsia="Arial" w:hAnsi="Arial"/>
          <w:b/>
          <w:bCs/>
          <w:color w:val="2E86C1"/>
          <w:sz w:val="24"/>
          <w:szCs w:val="24"/>
        </w:rPr>
        <w:t xml:space="preserve">2.2 Keterbatasan Pendekatan Konvensional</w:t>
      </w:r>
    </w:p>
    <w:p>
      <w:pPr>
        <w:pStyle w:val="ListParagraph"/>
        <w:numPr>
          <w:ilvl w:val="0"/>
          <w:numId w:val="2"/>
        </w:numPr>
        <w:spacing w:after="40" w:before="40"/>
      </w:pPr>
      <w:r>
        <w:rPr>
          <w:rFonts w:ascii="Arial" w:cs="Arial" w:eastAsia="Arial" w:hAnsi="Arial"/>
          <w:color w:val="1B2631"/>
          <w:sz w:val="22"/>
          <w:szCs w:val="22"/>
        </w:rPr>
        <w:t xml:space="preserve">Sensor gas fisik hanya mendeteksi kebocoran di titik pemasangan — tidak memberikan gambaran area luas.</w:t>
      </w:r>
    </w:p>
    <w:p>
      <w:pPr>
        <w:pStyle w:val="ListParagraph"/>
        <w:numPr>
          <w:ilvl w:val="0"/>
          <w:numId w:val="2"/>
        </w:numPr>
        <w:spacing w:after="40" w:before="40"/>
      </w:pPr>
      <w:r>
        <w:rPr>
          <w:rFonts w:ascii="Arial" w:cs="Arial" w:eastAsia="Arial" w:hAnsi="Arial"/>
          <w:color w:val="1B2631"/>
          <w:sz w:val="22"/>
          <w:szCs w:val="22"/>
        </w:rPr>
        <w:t xml:space="preserve">Pemantauan cuaca manual bergantung pada interpretasi petugas dan data dari BMKG yang tidak terlokalisasi ke koordinat aset spesifik.</w:t>
      </w:r>
    </w:p>
    <w:p>
      <w:pPr>
        <w:pStyle w:val="ListParagraph"/>
        <w:numPr>
          <w:ilvl w:val="0"/>
          <w:numId w:val="2"/>
        </w:numPr>
        <w:spacing w:after="40" w:before="40"/>
      </w:pPr>
      <w:r>
        <w:rPr>
          <w:rFonts w:ascii="Arial" w:cs="Arial" w:eastAsia="Arial" w:hAnsi="Arial"/>
          <w:color w:val="1B2631"/>
          <w:sz w:val="22"/>
          <w:szCs w:val="22"/>
        </w:rPr>
        <w:t xml:space="preserve">Tidak ada sistem terpusat yang menggabungkan informasi metana dan cuaca dalam satu dashboard operasional.</w:t>
      </w:r>
    </w:p>
    <w:p>
      <w:pPr>
        <w:pStyle w:val="ListParagraph"/>
        <w:numPr>
          <w:ilvl w:val="0"/>
          <w:numId w:val="2"/>
        </w:numPr>
        <w:spacing w:after="40" w:before="40"/>
      </w:pPr>
      <w:r>
        <w:rPr>
          <w:rFonts w:ascii="Arial" w:cs="Arial" w:eastAsia="Arial" w:hAnsi="Arial"/>
          <w:color w:val="1B2631"/>
          <w:sz w:val="22"/>
          <w:szCs w:val="22"/>
        </w:rPr>
        <w:t xml:space="preserve">Biaya instalasi dan maintenance sensor fisik dalam jumlah besar sangat signifikan, terutama untuk aset tersebar.</w:t>
      </w:r>
    </w:p>
    <w:p>
      <w:pPr>
        <w:spacing w:after="80" w:before="80"/>
      </w:pPr>
      <w:r>
        <w:t xml:space="preserve"/>
      </w:r>
    </w:p>
    <w:p>
      <w:pPr>
        <w:pStyle w:val="Heading1"/>
        <w:pBdr>
          <w:bottom w:val="single" w:color="2E86C1" w:sz="6" w:space="4"/>
        </w:pBdr>
        <w:spacing w:after="120" w:before="360"/>
      </w:pPr>
      <w:r>
        <w:rPr>
          <w:rFonts w:ascii="Arial" w:cs="Arial" w:eastAsia="Arial" w:hAnsi="Arial"/>
          <w:b/>
          <w:bCs/>
          <w:color w:val="1B4F72"/>
          <w:sz w:val="28"/>
          <w:szCs w:val="28"/>
        </w:rPr>
        <w:t xml:space="preserve">3. Solusi yang Ditawarkan</w:t>
      </w:r>
    </w:p>
    <w:p>
      <w:pPr>
        <w:pStyle w:val="Heading2"/>
        <w:spacing w:after="100" w:before="280"/>
      </w:pPr>
      <w:r>
        <w:rPr>
          <w:rFonts w:ascii="Arial" w:cs="Arial" w:eastAsia="Arial" w:hAnsi="Arial"/>
          <w:b/>
          <w:bCs/>
          <w:color w:val="2E86C1"/>
          <w:sz w:val="24"/>
          <w:szCs w:val="24"/>
        </w:rPr>
        <w:t xml:space="preserve">3.1 Gambaran Umum Sistem</w:t>
      </w:r>
    </w:p>
    <w:p>
      <w:pPr>
        <w:spacing w:after="100" w:before="60"/>
      </w:pPr>
      <w:r>
        <w:rPr>
          <w:rFonts w:ascii="Arial" w:cs="Arial" w:eastAsia="Arial" w:hAnsi="Arial"/>
          <w:color w:val="1B2631"/>
          <w:sz w:val="22"/>
          <w:szCs w:val="22"/>
        </w:rPr>
        <w:t xml:space="preserve">CRI menawarkan platform EWS berbasis web yang mengintegrasikan data citra satelit publik dengan model kecerdasan buatan untuk mendeteksi anomali metana dan cuaca ekstrem secara otomatis.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Komponen</w:t>
            </w:r>
          </w:p>
        </w:tc>
        <w:tc>
          <w:tcPr>
            <w:tcW w:type="dxa" w:w="312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Use Case Metana</w:t>
            </w:r>
          </w:p>
        </w:tc>
        <w:tc>
          <w:tcPr>
            <w:tcW w:type="dxa" w:w="312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Use Case Cuaca</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00"/>
            </w:tcMar>
          </w:tcPr>
          <w:p>
            <w:r>
              <w:rPr>
                <w:rFonts w:ascii="Arial" w:cs="Arial" w:eastAsia="Arial" w:hAnsi="Arial"/>
                <w:b/>
                <w:bCs/>
                <w:color w:val="1B4F72"/>
                <w:sz w:val="20"/>
                <w:szCs w:val="20"/>
              </w:rPr>
              <w:t xml:space="preserve">Sumber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Sentinel-5P / TROPOMI (ESA)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Himawari-9 (JMA), NOAA</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00"/>
            </w:tcMar>
          </w:tcPr>
          <w:p>
            <w:r>
              <w:rPr>
                <w:rFonts w:ascii="Arial" w:cs="Arial" w:eastAsia="Arial" w:hAnsi="Arial"/>
                <w:b/>
                <w:bCs/>
                <w:color w:val="1B4F72"/>
                <w:sz w:val="20"/>
                <w:szCs w:val="20"/>
              </w:rPr>
              <w:t xml:space="preserve">Frekuensi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~1x per hari per area</w:t>
            </w:r>
          </w:p>
        </w:tc>
        <w:tc>
          <w:tcPr>
            <w:tcW w:type="dxa" w:w="312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00"/>
            </w:tcMar>
          </w:tcPr>
          <w:p>
            <w:r>
              <w:rPr>
                <w:rFonts w:ascii="Arial" w:cs="Arial" w:eastAsia="Arial" w:hAnsi="Arial"/>
                <w:color w:val="1B2631"/>
                <w:sz w:val="20"/>
                <w:szCs w:val="20"/>
              </w:rPr>
              <w:t xml:space="preserve">Setiap 10 menit</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00"/>
            </w:tcMar>
          </w:tcPr>
          <w:p>
            <w:r>
              <w:rPr>
                <w:rFonts w:ascii="Arial" w:cs="Arial" w:eastAsia="Arial" w:hAnsi="Arial"/>
                <w:b/>
                <w:bCs/>
                <w:color w:val="1B4F72"/>
                <w:sz w:val="20"/>
                <w:szCs w:val="20"/>
              </w:rPr>
              <w:t xml:space="preserve">Metode Deteksi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Anomaly detection berbasis AI pada konsentrasi XCH4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Tracking vector pergerakan sistem cuaca</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00"/>
            </w:tcMar>
          </w:tcPr>
          <w:p>
            <w:r>
              <w:rPr>
                <w:rFonts w:ascii="Arial" w:cs="Arial" w:eastAsia="Arial" w:hAnsi="Arial"/>
                <w:b/>
                <w:bCs/>
                <w:color w:val="1B4F72"/>
                <w:sz w:val="20"/>
                <w:szCs w:val="20"/>
              </w:rPr>
              <w:t xml:space="preserve">Output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Bounding box area anomali + level bahaya</w:t>
            </w:r>
          </w:p>
        </w:tc>
        <w:tc>
          <w:tcPr>
            <w:tcW w:type="dxa" w:w="312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00"/>
            </w:tcMar>
          </w:tcPr>
          <w:p>
            <w:r>
              <w:rPr>
                <w:rFonts w:ascii="Arial" w:cs="Arial" w:eastAsia="Arial" w:hAnsi="Arial"/>
                <w:color w:val="1B2631"/>
                <w:sz w:val="20"/>
                <w:szCs w:val="20"/>
              </w:rPr>
              <w:t xml:space="preserve">Proyeksi lintasan badai ke koordinat aset</w:t>
            </w:r>
          </w:p>
        </w:tc>
      </w:tr>
    </w:tbl>
    <w:p>
      <w:pPr>
        <w:spacing w:after="80" w:before="80"/>
      </w:pPr>
      <w:r>
        <w:t xml:space="preserve"/>
      </w:r>
    </w:p>
    <w:p>
      <w:pPr>
        <w:pStyle w:val="Heading2"/>
        <w:spacing w:after="100" w:before="280"/>
      </w:pPr>
      <w:r>
        <w:rPr>
          <w:rFonts w:ascii="Arial" w:cs="Arial" w:eastAsia="Arial" w:hAnsi="Arial"/>
          <w:b/>
          <w:bCs/>
          <w:color w:val="2E86C1"/>
          <w:sz w:val="24"/>
          <w:szCs w:val="24"/>
        </w:rPr>
        <w:t xml:space="preserve">3.2 Fitur Utama Platform</w:t>
      </w:r>
    </w:p>
    <w:p>
      <w:pPr>
        <w:pStyle w:val="Heading3"/>
        <w:spacing w:after="80" w:before="200"/>
      </w:pPr>
      <w:r>
        <w:rPr>
          <w:rFonts w:ascii="Arial" w:cs="Arial" w:eastAsia="Arial" w:hAnsi="Arial"/>
          <w:b/>
          <w:bCs/>
          <w:color w:val="2C3E50"/>
          <w:sz w:val="22"/>
          <w:szCs w:val="22"/>
        </w:rPr>
        <w:t xml:space="preserve">a. Dashboard GIS Interaktif</w:t>
      </w:r>
    </w:p>
    <w:p>
      <w:pPr>
        <w:pStyle w:val="ListParagraph"/>
        <w:numPr>
          <w:ilvl w:val="0"/>
          <w:numId w:val="2"/>
        </w:numPr>
        <w:spacing w:after="40" w:before="40"/>
      </w:pPr>
      <w:r>
        <w:rPr>
          <w:rFonts w:ascii="Arial" w:cs="Arial" w:eastAsia="Arial" w:hAnsi="Arial"/>
          <w:color w:val="1B2631"/>
          <w:sz w:val="22"/>
          <w:szCs w:val="22"/>
        </w:rPr>
        <w:t xml:space="preserve">Peta berbasis web yang menampilkan seluruh aset klien beserta statusnya secara real-time.</w:t>
      </w:r>
    </w:p>
    <w:p>
      <w:pPr>
        <w:pStyle w:val="ListParagraph"/>
        <w:numPr>
          <w:ilvl w:val="0"/>
          <w:numId w:val="2"/>
        </w:numPr>
        <w:spacing w:after="40" w:before="40"/>
      </w:pPr>
      <w:r>
        <w:rPr>
          <w:rFonts w:ascii="Arial" w:cs="Arial" w:eastAsia="Arial" w:hAnsi="Arial"/>
          <w:color w:val="1B2631"/>
          <w:sz w:val="22"/>
          <w:szCs w:val="22"/>
        </w:rPr>
        <w:t xml:space="preserve">Layer heatmap konsentrasi metana yang dapat di-toggle on/off.</w:t>
      </w:r>
    </w:p>
    <w:p>
      <w:pPr>
        <w:pStyle w:val="ListParagraph"/>
        <w:numPr>
          <w:ilvl w:val="0"/>
          <w:numId w:val="2"/>
        </w:numPr>
        <w:spacing w:after="40" w:before="40"/>
      </w:pPr>
      <w:r>
        <w:rPr>
          <w:rFonts w:ascii="Arial" w:cs="Arial" w:eastAsia="Arial" w:hAnsi="Arial"/>
          <w:color w:val="1B2631"/>
          <w:sz w:val="22"/>
          <w:szCs w:val="22"/>
        </w:rPr>
        <w:t xml:space="preserve">Overlay bounding box otomatis pada area dengan konsentrasi anomali tinggi, diberi kode warna berdasarkan level bahaya (Critical/Warning/Normal).</w:t>
      </w:r>
    </w:p>
    <w:p>
      <w:pPr>
        <w:pStyle w:val="ListParagraph"/>
        <w:numPr>
          <w:ilvl w:val="0"/>
          <w:numId w:val="2"/>
        </w:numPr>
        <w:spacing w:after="40" w:before="40"/>
      </w:pPr>
      <w:r>
        <w:rPr>
          <w:rFonts w:ascii="Arial" w:cs="Arial" w:eastAsia="Arial" w:hAnsi="Arial"/>
          <w:color w:val="1B2631"/>
          <w:sz w:val="22"/>
          <w:szCs w:val="22"/>
        </w:rPr>
        <w:t xml:space="preserve">Visualisasi proyeksi lintasan cuaca ekstrem terhadap posisi aset.</w:t>
      </w:r>
    </w:p>
    <w:p>
      <w:pPr>
        <w:spacing w:after="80" w:before="80"/>
      </w:pPr>
      <w:r>
        <w:t xml:space="preserve"/>
      </w:r>
    </w:p>
    <w:p>
      <w:pPr>
        <w:pStyle w:val="Heading3"/>
        <w:spacing w:after="80" w:before="200"/>
      </w:pPr>
      <w:r>
        <w:rPr>
          <w:rFonts w:ascii="Arial" w:cs="Arial" w:eastAsia="Arial" w:hAnsi="Arial"/>
          <w:b/>
          <w:bCs/>
          <w:color w:val="2C3E50"/>
          <w:sz w:val="22"/>
          <w:szCs w:val="22"/>
        </w:rPr>
        <w:t xml:space="preserve">b. Sistem Notifikasi Berlapis</w:t>
      </w:r>
    </w:p>
    <w:p>
      <w:pPr>
        <w:pStyle w:val="ListParagraph"/>
        <w:numPr>
          <w:ilvl w:val="0"/>
          <w:numId w:val="2"/>
        </w:numPr>
        <w:spacing w:after="40" w:before="40"/>
      </w:pPr>
      <w:r>
        <w:rPr>
          <w:rFonts w:ascii="Arial" w:cs="Arial" w:eastAsia="Arial" w:hAnsi="Arial"/>
          <w:color w:val="1B2631"/>
          <w:sz w:val="22"/>
          <w:szCs w:val="22"/>
        </w:rPr>
        <w:t xml:space="preserve">Notifikasi real-time via WhatsApp ke tim HSSE lapangan ketika anomali terdeteksi.</w:t>
      </w:r>
    </w:p>
    <w:p>
      <w:pPr>
        <w:pStyle w:val="ListParagraph"/>
        <w:numPr>
          <w:ilvl w:val="0"/>
          <w:numId w:val="2"/>
        </w:numPr>
        <w:spacing w:after="40" w:before="40"/>
      </w:pPr>
      <w:r>
        <w:rPr>
          <w:rFonts w:ascii="Arial" w:cs="Arial" w:eastAsia="Arial" w:hAnsi="Arial"/>
          <w:color w:val="1B2631"/>
          <w:sz w:val="22"/>
          <w:szCs w:val="22"/>
        </w:rPr>
        <w:t xml:space="preserve">Alert di dashboard web dengan level Critical/Warning beserta koordinat dan timestamp.</w:t>
      </w:r>
    </w:p>
    <w:p>
      <w:pPr>
        <w:pStyle w:val="ListParagraph"/>
        <w:numPr>
          <w:ilvl w:val="0"/>
          <w:numId w:val="2"/>
        </w:numPr>
        <w:spacing w:after="40" w:before="40"/>
      </w:pPr>
      <w:r>
        <w:rPr>
          <w:rFonts w:ascii="Arial" w:cs="Arial" w:eastAsia="Arial" w:hAnsi="Arial"/>
          <w:color w:val="1B2631"/>
          <w:sz w:val="22"/>
          <w:szCs w:val="22"/>
        </w:rPr>
        <w:t xml:space="preserve">Laporan ringkasan harian/mingguan via email ke manajemen.</w:t>
      </w:r>
    </w:p>
    <w:p>
      <w:pPr>
        <w:pStyle w:val="ListParagraph"/>
        <w:numPr>
          <w:ilvl w:val="0"/>
          <w:numId w:val="2"/>
        </w:numPr>
        <w:spacing w:after="40" w:before="40"/>
      </w:pPr>
      <w:r>
        <w:rPr>
          <w:rFonts w:ascii="Arial" w:cs="Arial" w:eastAsia="Arial" w:hAnsi="Arial"/>
          <w:color w:val="1B2631"/>
          <w:sz w:val="22"/>
          <w:szCs w:val="22"/>
        </w:rPr>
        <w:t xml:space="preserve">Setiap alert mencantumkan: jenis anomali, lokasi, tingkat bahaya, confidence score, dan waktu data satelit.</w:t>
      </w:r>
    </w:p>
    <w:p>
      <w:pPr>
        <w:spacing w:after="80" w:before="80"/>
      </w:pPr>
      <w:r>
        <w:t xml:space="preserve"/>
      </w:r>
    </w:p>
    <w:p>
      <w:pPr>
        <w:pStyle w:val="Heading3"/>
        <w:spacing w:after="80" w:before="200"/>
      </w:pPr>
      <w:r>
        <w:rPr>
          <w:rFonts w:ascii="Arial" w:cs="Arial" w:eastAsia="Arial" w:hAnsi="Arial"/>
          <w:b/>
          <w:bCs/>
          <w:color w:val="2C3E50"/>
          <w:sz w:val="22"/>
          <w:szCs w:val="22"/>
        </w:rPr>
        <w:t xml:space="preserve">c. Riwayat &amp; Audit Trail</w:t>
      </w:r>
    </w:p>
    <w:p>
      <w:pPr>
        <w:pStyle w:val="ListParagraph"/>
        <w:numPr>
          <w:ilvl w:val="0"/>
          <w:numId w:val="2"/>
        </w:numPr>
        <w:spacing w:after="40" w:before="40"/>
      </w:pPr>
      <w:r>
        <w:rPr>
          <w:rFonts w:ascii="Arial" w:cs="Arial" w:eastAsia="Arial" w:hAnsi="Arial"/>
          <w:color w:val="1B2631"/>
          <w:sz w:val="22"/>
          <w:szCs w:val="22"/>
        </w:rPr>
        <w:t xml:space="preserve">Seluruh anomali yang terdeteksi tersimpan dalam database dengan log lengkap.</w:t>
      </w:r>
    </w:p>
    <w:p>
      <w:pPr>
        <w:pStyle w:val="ListParagraph"/>
        <w:numPr>
          <w:ilvl w:val="0"/>
          <w:numId w:val="2"/>
        </w:numPr>
        <w:spacing w:after="40" w:before="40"/>
      </w:pPr>
      <w:r>
        <w:rPr>
          <w:rFonts w:ascii="Arial" w:cs="Arial" w:eastAsia="Arial" w:hAnsi="Arial"/>
          <w:color w:val="1B2631"/>
          <w:sz w:val="22"/>
          <w:szCs w:val="22"/>
        </w:rPr>
        <w:t xml:space="preserve">Data historis dapat diekspor untuk keperluan pelaporan regulasi dan audit HSSE.</w:t>
      </w:r>
    </w:p>
    <w:p>
      <w:pPr>
        <w:pStyle w:val="ListParagraph"/>
        <w:numPr>
          <w:ilvl w:val="0"/>
          <w:numId w:val="2"/>
        </w:numPr>
        <w:spacing w:after="40" w:before="40"/>
      </w:pPr>
      <w:r>
        <w:rPr>
          <w:rFonts w:ascii="Arial" w:cs="Arial" w:eastAsia="Arial" w:hAnsi="Arial"/>
          <w:color w:val="1B2631"/>
          <w:sz w:val="22"/>
          <w:szCs w:val="22"/>
        </w:rPr>
        <w:t xml:space="preserve">Grafik tren konsentrasi metana per aset dari waktu ke waktu.</w:t>
      </w:r>
    </w:p>
    <w:p>
      <w:pPr>
        <w:spacing w:after="80" w:before="80"/>
      </w:pPr>
      <w:r>
        <w:t xml:space="preserve"/>
      </w:r>
    </w:p>
    <w:p>
      <w:pPr>
        <w:pStyle w:val="Heading1"/>
        <w:pBdr>
          <w:bottom w:val="single" w:color="2E86C1" w:sz="6" w:space="4"/>
        </w:pBdr>
        <w:spacing w:after="120" w:before="360"/>
      </w:pPr>
      <w:r>
        <w:rPr>
          <w:rFonts w:ascii="Arial" w:cs="Arial" w:eastAsia="Arial" w:hAnsi="Arial"/>
          <w:b/>
          <w:bCs/>
          <w:color w:val="1B4F72"/>
          <w:sz w:val="28"/>
          <w:szCs w:val="28"/>
        </w:rPr>
        <w:t xml:space="preserve">4. Nilai Bisnis &amp; Justifikasi Investasi</w:t>
      </w:r>
    </w:p>
    <w:p>
      <w:pPr>
        <w:pStyle w:val="Heading2"/>
        <w:spacing w:after="100" w:before="280"/>
      </w:pPr>
      <w:r>
        <w:rPr>
          <w:rFonts w:ascii="Arial" w:cs="Arial" w:eastAsia="Arial" w:hAnsi="Arial"/>
          <w:b/>
          <w:bCs/>
          <w:color w:val="2E86C1"/>
          <w:sz w:val="24"/>
          <w:szCs w:val="24"/>
        </w:rPr>
        <w:t xml:space="preserve">4.1 Framework Kalkulasi ROI</w:t>
      </w:r>
    </w:p>
    <w:p>
      <w:pPr>
        <w:spacing w:after="100" w:before="60"/>
      </w:pPr>
      <w:r>
        <w:rPr>
          <w:rFonts w:ascii="Arial" w:cs="Arial" w:eastAsia="Arial" w:hAnsi="Arial"/>
          <w:color w:val="1B2631"/>
          <w:sz w:val="22"/>
          <w:szCs w:val="22"/>
        </w:rPr>
        <w:t xml:space="preserve">Nilai investasi sistem EWS ini paling tepat dievaluasi menggunakan framework Cost of Prevention vs. Cost of Incident yang umum digunakan dalam manajemen risiko HSSE.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Cost of Incident (risiko yang dimitigasi)</w:t>
            </w:r>
          </w:p>
        </w:tc>
        <w:tc>
          <w:tcPr>
            <w:tcW w:type="dxa" w:w="468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Cost of Prevention (investasi sistem)</w:t>
            </w:r>
          </w:p>
        </w:tc>
      </w:tr>
      <w:tr>
        <w:tc>
          <w:tcPr>
            <w:tcW w:type="dxa" w:w="4680"/>
            <w:tcBorders>
              <w:top w:val="single" w:color="CCCCCC" w:sz="1"/>
              <w:left w:val="single" w:color="CCCCCC" w:sz="1"/>
              <w:bottom w:val="single" w:color="CCCCCC" w:sz="1"/>
              <w:right w:val="single" w:color="CCCCCC" w:sz="1"/>
            </w:tcBorders>
            <w:shd w:fill="FEF0F0" w:val="clear"/>
            <w:tcMar>
              <w:top w:type="dxa" w:w="80"/>
              <w:left w:type="dxa" w:w="140"/>
              <w:bottom w:type="dxa" w:w="80"/>
              <w:right w:type="dxa" w:w="100"/>
            </w:tcMar>
          </w:tcPr>
          <w:p>
            <w:r>
              <w:rPr>
                <w:rFonts w:ascii="Arial" w:cs="Arial" w:eastAsia="Arial" w:hAnsi="Arial"/>
                <w:color w:val="1B2631"/>
                <w:sz w:val="20"/>
                <w:szCs w:val="20"/>
              </w:rPr>
              <w:t xml:space="preserve">Kerugian material insiden kebakaran kilang: Rp 50–500 miliar+</w:t>
            </w:r>
          </w:p>
        </w:tc>
        <w:tc>
          <w:tcPr>
            <w:tcW w:type="dxa" w:w="4680"/>
            <w:tcBorders>
              <w:top w:val="single" w:color="CCCCCC" w:sz="1"/>
              <w:left w:val="single" w:color="CCCCCC" w:sz="1"/>
              <w:bottom w:val="single" w:color="CCCCCC" w:sz="1"/>
              <w:right w:val="single" w:color="CCCCCC" w:sz="1"/>
            </w:tcBorders>
            <w:shd w:fill="F0FEF0" w:val="clear"/>
            <w:tcMar>
              <w:top w:type="dxa" w:w="80"/>
              <w:left w:type="dxa" w:w="140"/>
              <w:bottom w:type="dxa" w:w="80"/>
              <w:right w:type="dxa" w:w="100"/>
            </w:tcMar>
          </w:tcPr>
          <w:p>
            <w:r>
              <w:rPr>
                <w:rFonts w:ascii="Arial" w:cs="Arial" w:eastAsia="Arial" w:hAnsi="Arial"/>
                <w:color w:val="1B2631"/>
                <w:sz w:val="20"/>
                <w:szCs w:val="20"/>
              </w:rPr>
              <w:t xml:space="preserve">Biaya development platform EWS (one-time)</w:t>
            </w:r>
          </w:p>
        </w:tc>
      </w:tr>
      <w:tr>
        <w:tc>
          <w:tcPr>
            <w:tcW w:type="dxa" w:w="4680"/>
            <w:tcBorders>
              <w:top w:val="single" w:color="CCCCCC" w:sz="1"/>
              <w:left w:val="single" w:color="CCCCCC" w:sz="1"/>
              <w:bottom w:val="single" w:color="CCCCCC" w:sz="1"/>
              <w:right w:val="single" w:color="CCCCCC" w:sz="1"/>
            </w:tcBorders>
            <w:shd w:fill="FEF0F0" w:val="clear"/>
            <w:tcMar>
              <w:top w:type="dxa" w:w="80"/>
              <w:left w:type="dxa" w:w="140"/>
              <w:bottom w:type="dxa" w:w="80"/>
              <w:right w:type="dxa" w:w="100"/>
            </w:tcMar>
          </w:tcPr>
          <w:p>
            <w:r>
              <w:rPr>
                <w:rFonts w:ascii="Arial" w:cs="Arial" w:eastAsia="Arial" w:hAnsi="Arial"/>
                <w:color w:val="1B2631"/>
                <w:sz w:val="20"/>
                <w:szCs w:val="20"/>
              </w:rPr>
              <w:t xml:space="preserve">Biaya korban jiwa &amp; kompensasi: tidak ternilai</w:t>
            </w:r>
          </w:p>
        </w:tc>
        <w:tc>
          <w:tcPr>
            <w:tcW w:type="dxa" w:w="4680"/>
            <w:tcBorders>
              <w:top w:val="single" w:color="CCCCCC" w:sz="1"/>
              <w:left w:val="single" w:color="CCCCCC" w:sz="1"/>
              <w:bottom w:val="single" w:color="CCCCCC" w:sz="1"/>
              <w:right w:val="single" w:color="CCCCCC" w:sz="1"/>
            </w:tcBorders>
            <w:shd w:fill="F0FEF0" w:val="clear"/>
            <w:tcMar>
              <w:top w:type="dxa" w:w="80"/>
              <w:left w:type="dxa" w:w="140"/>
              <w:bottom w:type="dxa" w:w="80"/>
              <w:right w:type="dxa" w:w="100"/>
            </w:tcMar>
          </w:tcPr>
          <w:p>
            <w:r>
              <w:rPr>
                <w:rFonts w:ascii="Arial" w:cs="Arial" w:eastAsia="Arial" w:hAnsi="Arial"/>
                <w:color w:val="1B2631"/>
                <w:sz w:val="20"/>
                <w:szCs w:val="20"/>
              </w:rPr>
              <w:t xml:space="preserve">Biaya operasional sistem per bulan (opsional: managed service)</w:t>
            </w:r>
          </w:p>
        </w:tc>
      </w:tr>
      <w:tr>
        <w:tc>
          <w:tcPr>
            <w:tcW w:type="dxa" w:w="4680"/>
            <w:tcBorders>
              <w:top w:val="single" w:color="CCCCCC" w:sz="1"/>
              <w:left w:val="single" w:color="CCCCCC" w:sz="1"/>
              <w:bottom w:val="single" w:color="CCCCCC" w:sz="1"/>
              <w:right w:val="single" w:color="CCCCCC" w:sz="1"/>
            </w:tcBorders>
            <w:shd w:fill="FEF0F0" w:val="clear"/>
            <w:tcMar>
              <w:top w:type="dxa" w:w="80"/>
              <w:left w:type="dxa" w:w="140"/>
              <w:bottom w:type="dxa" w:w="80"/>
              <w:right w:type="dxa" w:w="100"/>
            </w:tcMar>
          </w:tcPr>
          <w:p>
            <w:r>
              <w:rPr>
                <w:rFonts w:ascii="Arial" w:cs="Arial" w:eastAsia="Arial" w:hAnsi="Arial"/>
                <w:color w:val="1B2631"/>
                <w:sz w:val="20"/>
                <w:szCs w:val="20"/>
              </w:rPr>
              <w:t xml:space="preserve">Denda regulasi SKK Migas / KLHK atas insiden lingkungan</w:t>
            </w:r>
          </w:p>
        </w:tc>
        <w:tc>
          <w:tcPr>
            <w:tcW w:type="dxa" w:w="4680"/>
            <w:tcBorders>
              <w:top w:val="single" w:color="CCCCCC" w:sz="1"/>
              <w:left w:val="single" w:color="CCCCCC" w:sz="1"/>
              <w:bottom w:val="single" w:color="CCCCCC" w:sz="1"/>
              <w:right w:val="single" w:color="CCCCCC" w:sz="1"/>
            </w:tcBorders>
            <w:shd w:fill="F0FEF0" w:val="clear"/>
            <w:tcMar>
              <w:top w:type="dxa" w:w="80"/>
              <w:left w:type="dxa" w:w="140"/>
              <w:bottom w:type="dxa" w:w="80"/>
              <w:right w:type="dxa" w:w="100"/>
            </w:tcMar>
          </w:tcPr>
          <w:p>
            <w:r>
              <w:rPr>
                <w:rFonts w:ascii="Arial" w:cs="Arial" w:eastAsia="Arial" w:hAnsi="Arial"/>
                <w:color w:val="1B2631"/>
                <w:sz w:val="20"/>
                <w:szCs w:val="20"/>
              </w:rPr>
              <w:t xml:space="preserve">Zero biaya hardware sensor tambahan di lapangan</w:t>
            </w:r>
          </w:p>
        </w:tc>
      </w:tr>
      <w:tr>
        <w:tc>
          <w:tcPr>
            <w:tcW w:type="dxa" w:w="4680"/>
            <w:tcBorders>
              <w:top w:val="single" w:color="CCCCCC" w:sz="1"/>
              <w:left w:val="single" w:color="CCCCCC" w:sz="1"/>
              <w:bottom w:val="single" w:color="CCCCCC" w:sz="1"/>
              <w:right w:val="single" w:color="CCCCCC" w:sz="1"/>
            </w:tcBorders>
            <w:shd w:fill="FEF0F0" w:val="clear"/>
            <w:tcMar>
              <w:top w:type="dxa" w:w="80"/>
              <w:left w:type="dxa" w:w="140"/>
              <w:bottom w:type="dxa" w:w="80"/>
              <w:right w:type="dxa" w:w="100"/>
            </w:tcMar>
          </w:tcPr>
          <w:p>
            <w:r>
              <w:rPr>
                <w:rFonts w:ascii="Arial" w:cs="Arial" w:eastAsia="Arial" w:hAnsi="Arial"/>
                <w:color w:val="1B2631"/>
                <w:sz w:val="20"/>
                <w:szCs w:val="20"/>
              </w:rPr>
              <w:t xml:space="preserve">Kerugian reputasi &amp; penghentian operasi (business continuity)</w:t>
            </w:r>
          </w:p>
        </w:tc>
        <w:tc>
          <w:tcPr>
            <w:tcW w:type="dxa" w:w="4680"/>
            <w:tcBorders>
              <w:top w:val="single" w:color="CCCCCC" w:sz="1"/>
              <w:left w:val="single" w:color="CCCCCC" w:sz="1"/>
              <w:bottom w:val="single" w:color="CCCCCC" w:sz="1"/>
              <w:right w:val="single" w:color="CCCCCC" w:sz="1"/>
            </w:tcBorders>
            <w:shd w:fill="F0FEF0" w:val="clear"/>
            <w:tcMar>
              <w:top w:type="dxa" w:w="80"/>
              <w:left w:type="dxa" w:w="140"/>
              <w:bottom w:type="dxa" w:w="80"/>
              <w:right w:type="dxa" w:w="100"/>
            </w:tcMar>
          </w:tcPr>
          <w:p>
            <w:r>
              <w:rPr>
                <w:rFonts w:ascii="Arial" w:cs="Arial" w:eastAsia="Arial" w:hAnsi="Arial"/>
                <w:color w:val="1B2631"/>
                <w:sz w:val="20"/>
                <w:szCs w:val="20"/>
              </w:rPr>
              <w:t xml:space="preserve">Satu deteksi dini yang berhasil = ROI positif</w:t>
            </w:r>
          </w:p>
        </w:tc>
      </w:tr>
    </w:tbl>
    <w:p>
      <w:pPr>
        <w:spacing w:after="80" w:before="80"/>
      </w:pPr>
      <w:r>
        <w:t xml:space="preserve"/>
      </w:r>
    </w:p>
    <w:p>
      <w:pPr>
        <w:pStyle w:val="Heading2"/>
        <w:spacing w:after="100" w:before="280"/>
      </w:pPr>
      <w:r>
        <w:rPr>
          <w:rFonts w:ascii="Arial" w:cs="Arial" w:eastAsia="Arial" w:hAnsi="Arial"/>
          <w:b/>
          <w:bCs/>
          <w:color w:val="2E86C1"/>
          <w:sz w:val="24"/>
          <w:szCs w:val="24"/>
        </w:rPr>
        <w:t xml:space="preserve">4.2 Nilai Strategis untuk Konsultan HSSE</w:t>
      </w:r>
    </w:p>
    <w:p>
      <w:pPr>
        <w:spacing w:after="100" w:before="60"/>
      </w:pPr>
      <w:r>
        <w:rPr>
          <w:rFonts w:ascii="Arial" w:cs="Arial" w:eastAsia="Arial" w:hAnsi="Arial"/>
          <w:color w:val="1B2631"/>
          <w:sz w:val="22"/>
          <w:szCs w:val="22"/>
        </w:rPr>
        <w:t xml:space="preserve">Sistem ini bukan sekadar alat operasional — ini adalah aset diferensiasi bisnis bagi konsultan HSSE yang menggunakannya.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2E86C1" w:sz="8"/>
              <w:bottom w:val="single" w:color="CCCCCC" w:sz="1"/>
              <w:right w:val="single" w:color="CCCCCC" w:sz="1"/>
            </w:tcBorders>
            <w:shd w:fill="EBF5FB" w:val="clear"/>
            <w:tcMar>
              <w:top w:type="dxa" w:w="120"/>
              <w:left w:type="dxa" w:w="200"/>
              <w:bottom w:type="dxa" w:w="120"/>
              <w:right w:type="dxa" w:w="200"/>
            </w:tcMar>
          </w:tcPr>
          <w:p>
            <w:pPr>
              <w:spacing w:after="80" w:before="60"/>
            </w:pPr>
            <w:r>
              <w:rPr>
                <w:rFonts w:ascii="Arial" w:cs="Arial" w:eastAsia="Arial" w:hAnsi="Arial"/>
                <w:b/>
                <w:bCs/>
                <w:color w:val="1B4F72"/>
                <w:sz w:val="22"/>
                <w:szCs w:val="22"/>
              </w:rPr>
              <w:t xml:space="preserve">Nilai Diferensiasi Kompetitif</w:t>
            </w:r>
          </w:p>
          <w:p>
            <w:pPr>
              <w:pStyle w:val="ListParagraph"/>
              <w:numPr>
                <w:ilvl w:val="0"/>
                <w:numId w:val="2"/>
              </w:numPr>
              <w:spacing w:after="30" w:before="30"/>
            </w:pPr>
            <w:r>
              <w:rPr>
                <w:rFonts w:ascii="Arial" w:cs="Arial" w:eastAsia="Arial" w:hAnsi="Arial"/>
                <w:color w:val="1B2631"/>
                <w:sz w:val="20"/>
                <w:szCs w:val="20"/>
              </w:rPr>
              <w:t xml:space="preserve">Konsultan HSSE yang menawarkan monitoring berbasis satelit berbeda kelas dibanding yang masih berbasis audit manual.</w:t>
            </w:r>
          </w:p>
          <w:p>
            <w:pPr>
              <w:pStyle w:val="ListParagraph"/>
              <w:numPr>
                <w:ilvl w:val="0"/>
                <w:numId w:val="2"/>
              </w:numPr>
              <w:spacing w:after="30" w:before="30"/>
            </w:pPr>
            <w:r>
              <w:rPr>
                <w:rFonts w:ascii="Arial" w:cs="Arial" w:eastAsia="Arial" w:hAnsi="Arial"/>
                <w:color w:val="1B2631"/>
                <w:sz w:val="20"/>
                <w:szCs w:val="20"/>
              </w:rPr>
              <w:t xml:space="preserve">Sistem menjadi bukti konkret expertise teknologi yang dapat dipresentasikan ke calon klien baru.</w:t>
            </w:r>
          </w:p>
          <w:p>
            <w:pPr>
              <w:pStyle w:val="ListParagraph"/>
              <w:numPr>
                <w:ilvl w:val="0"/>
                <w:numId w:val="2"/>
              </w:numPr>
              <w:spacing w:after="30" w:before="30"/>
            </w:pPr>
            <w:r>
              <w:rPr>
                <w:rFonts w:ascii="Arial" w:cs="Arial" w:eastAsia="Arial" w:hAnsi="Arial"/>
                <w:color w:val="1B2631"/>
                <w:sz w:val="20"/>
                <w:szCs w:val="20"/>
              </w:rPr>
              <w:t xml:space="preserve">Data historis anomali yang terakumulasi menjadi aset riset dan insight eksklusif untuk layanan konsultansi.</w:t>
            </w:r>
          </w:p>
          <w:p>
            <w:pPr>
              <w:pStyle w:val="ListParagraph"/>
              <w:numPr>
                <w:ilvl w:val="0"/>
                <w:numId w:val="2"/>
              </w:numPr>
              <w:spacing w:after="30" w:before="30"/>
            </w:pPr>
            <w:r>
              <w:rPr>
                <w:rFonts w:ascii="Arial" w:cs="Arial" w:eastAsia="Arial" w:hAnsi="Arial"/>
                <w:color w:val="1B2631"/>
                <w:sz w:val="20"/>
                <w:szCs w:val="20"/>
              </w:rPr>
              <w:t xml:space="preserve">Membuka peluang layanan monitoring berkala sebagai recurring revenue stream bagi konsultan.</w:t>
            </w:r>
          </w:p>
        </w:tc>
      </w:tr>
    </w:tbl>
    <w:p>
      <w:pPr>
        <w:spacing w:after="80" w:before="80"/>
      </w:pPr>
      <w:r>
        <w:t xml:space="preserve"/>
      </w:r>
    </w:p>
    <w:p>
      <w:pPr>
        <w:pStyle w:val="Heading2"/>
        <w:spacing w:after="100" w:before="280"/>
      </w:pPr>
      <w:r>
        <w:rPr>
          <w:rFonts w:ascii="Arial" w:cs="Arial" w:eastAsia="Arial" w:hAnsi="Arial"/>
          <w:b/>
          <w:bCs/>
          <w:color w:val="2E86C1"/>
          <w:sz w:val="24"/>
          <w:szCs w:val="24"/>
        </w:rPr>
        <w:t xml:space="preserve">4.3 Nilai bagi Industri: Compliance &amp; Reporting</w:t>
      </w:r>
    </w:p>
    <w:p>
      <w:pPr>
        <w:pStyle w:val="ListParagraph"/>
        <w:numPr>
          <w:ilvl w:val="0"/>
          <w:numId w:val="2"/>
        </w:numPr>
        <w:spacing w:after="40" w:before="40"/>
      </w:pPr>
      <w:r>
        <w:rPr>
          <w:rFonts w:ascii="Arial" w:cs="Arial" w:eastAsia="Arial" w:hAnsi="Arial"/>
          <w:color w:val="1B2631"/>
          <w:sz w:val="22"/>
          <w:szCs w:val="22"/>
        </w:rPr>
        <w:t xml:space="preserve">Tekanan regulasi global (Paris Agreement, net-zero commitment) mendorong kewajiban monitoring dan pelaporan emisi metana bagi operator migas.</w:t>
      </w:r>
    </w:p>
    <w:p>
      <w:pPr>
        <w:pStyle w:val="ListParagraph"/>
        <w:numPr>
          <w:ilvl w:val="0"/>
          <w:numId w:val="2"/>
        </w:numPr>
        <w:spacing w:after="40" w:before="40"/>
      </w:pPr>
      <w:r>
        <w:rPr>
          <w:rFonts w:ascii="Arial" w:cs="Arial" w:eastAsia="Arial" w:hAnsi="Arial"/>
          <w:color w:val="1B2631"/>
          <w:sz w:val="22"/>
          <w:szCs w:val="22"/>
        </w:rPr>
        <w:t xml:space="preserve">Data historis dari sistem ini dapat langsung digunakan sebagai bahan laporan emisi yang dipersyaratkan SKK Migas dan KLHK.</w:t>
      </w:r>
    </w:p>
    <w:p>
      <w:pPr>
        <w:pStyle w:val="ListParagraph"/>
        <w:numPr>
          <w:ilvl w:val="0"/>
          <w:numId w:val="2"/>
        </w:numPr>
        <w:spacing w:after="40" w:before="40"/>
      </w:pPr>
      <w:r>
        <w:rPr>
          <w:rFonts w:ascii="Arial" w:cs="Arial" w:eastAsia="Arial" w:hAnsi="Arial"/>
          <w:color w:val="1B2631"/>
          <w:sz w:val="22"/>
          <w:szCs w:val="22"/>
        </w:rPr>
        <w:t xml:space="preserve">Sistem audit trail yang terotomasi mengurangi beban penyusunan laporan compliance secara manual.</w:t>
      </w:r>
    </w:p>
    <w:p>
      <w:pPr>
        <w:spacing w:after="80" w:before="80"/>
      </w:pPr>
      <w:r>
        <w:t xml:space="preserve"/>
      </w:r>
    </w:p>
    <w:p>
      <w:pPr>
        <w:pStyle w:val="Heading2"/>
        <w:spacing w:after="100" w:before="280"/>
      </w:pPr>
      <w:r>
        <w:rPr>
          <w:rFonts w:ascii="Arial" w:cs="Arial" w:eastAsia="Arial" w:hAnsi="Arial"/>
          <w:b/>
          <w:bCs/>
          <w:color w:val="2E86C1"/>
          <w:sz w:val="24"/>
          <w:szCs w:val="24"/>
        </w:rPr>
        <w:t xml:space="preserve">4.4 Skalabilitas sebagai Platform</w:t>
      </w:r>
    </w:p>
    <w:p>
      <w:pPr>
        <w:spacing w:after="100" w:before="60"/>
      </w:pPr>
      <w:r>
        <w:rPr>
          <w:rFonts w:ascii="Arial" w:cs="Arial" w:eastAsia="Arial" w:hAnsi="Arial"/>
          <w:color w:val="1B2631"/>
          <w:sz w:val="22"/>
          <w:szCs w:val="22"/>
        </w:rPr>
        <w:t xml:space="preserve">Arsitektur sistem dirancang modular — sekali platform terbangun, penambahan Area of Interest (aset baru) tidak memerlukan pembangunan ulang, hanya konfigurasi koordinat baru.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Skala</w:t>
            </w:r>
          </w:p>
        </w:tc>
        <w:tc>
          <w:tcPr>
            <w:tcW w:type="dxa" w:w="348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Deskripsi</w:t>
            </w:r>
          </w:p>
        </w:tc>
        <w:tc>
          <w:tcPr>
            <w:tcW w:type="dxa" w:w="348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Model Potensi</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00"/>
            </w:tcMar>
          </w:tcPr>
          <w:p>
            <w:r>
              <w:rPr>
                <w:rFonts w:ascii="Arial" w:cs="Arial" w:eastAsia="Arial" w:hAnsi="Arial"/>
                <w:b/>
                <w:bCs/>
                <w:color w:val="1B4F72"/>
                <w:sz w:val="20"/>
                <w:szCs w:val="20"/>
              </w:rPr>
              <w:t xml:space="preserve">Single client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Satu perusahaan O&amp;G, beberapa aset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Project one-time + maintenance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00"/>
            </w:tcMar>
          </w:tcPr>
          <w:p>
            <w:r>
              <w:rPr>
                <w:rFonts w:ascii="Arial" w:cs="Arial" w:eastAsia="Arial" w:hAnsi="Arial"/>
                <w:b/>
                <w:bCs/>
                <w:color w:val="1B4F72"/>
                <w:sz w:val="20"/>
                <w:szCs w:val="20"/>
              </w:rPr>
              <w:t xml:space="preserve">Multi-client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Beberapa perusahaan O&amp;G berbagi platform</w:t>
            </w:r>
          </w:p>
        </w:tc>
        <w:tc>
          <w:tcPr>
            <w:tcW w:type="dxa" w:w="348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00"/>
            </w:tcMar>
          </w:tcPr>
          <w:p>
            <w:r>
              <w:rPr>
                <w:rFonts w:ascii="Arial" w:cs="Arial" w:eastAsia="Arial" w:hAnsi="Arial"/>
                <w:color w:val="1B2631"/>
                <w:sz w:val="20"/>
                <w:szCs w:val="20"/>
              </w:rPr>
              <w:t xml:space="preserve">SaaS / subscription per aset/bulan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00"/>
            </w:tcMar>
          </w:tcPr>
          <w:p>
            <w:r>
              <w:rPr>
                <w:rFonts w:ascii="Arial" w:cs="Arial" w:eastAsia="Arial" w:hAnsi="Arial"/>
                <w:b/>
                <w:bCs/>
                <w:color w:val="1B4F72"/>
                <w:sz w:val="20"/>
                <w:szCs w:val="20"/>
              </w:rPr>
              <w:t xml:space="preserve">HSSE Consultant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Konsultan HSSE rebranding platform ke klien-kliennya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White-label licensing + revenue share</w:t>
            </w:r>
          </w:p>
        </w:tc>
      </w:tr>
    </w:tbl>
    <w:p>
      <w:pPr>
        <w:spacing w:after="80" w:before="80"/>
      </w:pPr>
      <w:r>
        <w:t xml:space="preserve"/>
      </w:r>
    </w:p>
    <w:p>
      <w:pPr>
        <w:pStyle w:val="Heading1"/>
        <w:pBdr>
          <w:bottom w:val="single" w:color="2E86C1" w:sz="6" w:space="4"/>
        </w:pBdr>
        <w:spacing w:after="120" w:before="360"/>
      </w:pPr>
      <w:r>
        <w:rPr>
          <w:rFonts w:ascii="Arial" w:cs="Arial" w:eastAsia="Arial" w:hAnsi="Arial"/>
          <w:b/>
          <w:bCs/>
          <w:color w:val="1B4F72"/>
          <w:sz w:val="28"/>
          <w:szCs w:val="28"/>
        </w:rPr>
        <w:t xml:space="preserve">5. Metodologi</w:t>
      </w:r>
    </w:p>
    <w:p>
      <w:pPr>
        <w:pStyle w:val="Heading2"/>
        <w:spacing w:after="100" w:before="280"/>
      </w:pPr>
      <w:r>
        <w:rPr>
          <w:rFonts w:ascii="Arial" w:cs="Arial" w:eastAsia="Arial" w:hAnsi="Arial"/>
          <w:b/>
          <w:bCs/>
          <w:color w:val="2E86C1"/>
          <w:sz w:val="24"/>
          <w:szCs w:val="24"/>
        </w:rPr>
        <w:t xml:space="preserve">5.1 Arsitektur Pipeline Data End-to-End</w:t>
      </w:r>
    </w:p>
    <w:p>
      <w:pPr>
        <w:spacing w:after="100" w:before="60"/>
      </w:pPr>
      <w:r>
        <w:rPr>
          <w:rFonts w:ascii="Arial" w:cs="Arial" w:eastAsia="Arial" w:hAnsi="Arial"/>
          <w:color w:val="1B2631"/>
          <w:sz w:val="22"/>
          <w:szCs w:val="22"/>
        </w:rPr>
        <w:t xml:space="preserve">Sistem bekerja dalam lima lapisan yang berjalan secara terjadwal dan otomatis: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640"/>
        <w:gridCol w:w="2800"/>
      </w:tblGrid>
      <w:tr>
        <w:tc>
          <w:tcPr>
            <w:tcW w:type="dxa" w:w="72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Layer</w:t>
            </w:r>
          </w:p>
        </w:tc>
        <w:tc>
          <w:tcPr>
            <w:tcW w:type="dxa" w:w="364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Proses</w:t>
            </w:r>
          </w:p>
        </w:tc>
        <w:tc>
          <w:tcPr>
            <w:tcW w:type="dxa" w:w="28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Teknologi</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1B4F72"/>
                <w:sz w:val="20"/>
                <w:szCs w:val="20"/>
              </w:rPr>
              <w:t xml:space="preserve">1</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00"/>
            </w:tcMar>
          </w:tcPr>
          <w:p>
            <w:r>
              <w:rPr>
                <w:rFonts w:ascii="Arial" w:cs="Arial" w:eastAsia="Arial" w:hAnsi="Arial"/>
                <w:color w:val="1B2631"/>
                <w:sz w:val="20"/>
                <w:szCs w:val="20"/>
              </w:rPr>
              <w:t xml:space="preserve">Data Ingestion</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Scheduler otomatis mengunduh file citra satelit terbaru (.nc / GeoTIFF) dari server ESA &amp; NOAA sesuai jadwal orbit. File mentah disimpan ke object storage.</w:t>
            </w:r>
          </w:p>
        </w:tc>
        <w:tc>
          <w:tcPr>
            <w:tcW w:type="dxa" w:w="2800"/>
            <w:tcBorders>
              <w:top w:val="single" w:color="CCCCCC" w:sz="1"/>
              <w:left w:val="single" w:color="CCCCCC" w:sz="1"/>
              <w:bottom w:val="single" w:color="CCCCCC" w:sz="1"/>
              <w:right w:val="single" w:color="CCCCCC" w:sz="1"/>
            </w:tcBorders>
            <w:shd w:fill="F8F9F9" w:val="clear"/>
            <w:tcMar>
              <w:top w:type="dxa" w:w="80"/>
              <w:left w:type="dxa" w:w="140"/>
              <w:bottom w:type="dxa" w:w="80"/>
              <w:right w:type="dxa" w:w="100"/>
            </w:tcMar>
          </w:tcPr>
          <w:p>
            <w:r>
              <w:rPr>
                <w:rFonts w:ascii="Arial" w:cs="Arial" w:eastAsia="Arial" w:hAnsi="Arial"/>
                <w:color w:val="1B2631"/>
                <w:sz w:val="20"/>
                <w:szCs w:val="20"/>
              </w:rPr>
              <w:t xml:space="preserve">Python, Celery/cron, MinIO/S3, sentinelsat</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1B4F72"/>
                <w:sz w:val="20"/>
                <w:szCs w:val="20"/>
              </w:rPr>
              <w:t xml:space="preserve">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00"/>
            </w:tcMar>
          </w:tcPr>
          <w:p>
            <w:r>
              <w:rPr>
                <w:rFonts w:ascii="Arial" w:cs="Arial" w:eastAsia="Arial" w:hAnsi="Arial"/>
                <w:color w:val="1B2631"/>
                <w:sz w:val="20"/>
                <w:szCs w:val="20"/>
              </w:rPr>
              <w:t xml:space="preserve">Pre-processing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Filter kualitas piksel (qa_value, cloud mask). Crop citra ke area aset (AOI clipping). Ekstrak band spektral relevan (SWIR untuk metana, IR/WV untuk cuaca).</w:t>
            </w:r>
          </w:p>
        </w:tc>
        <w:tc>
          <w:tcPr>
            <w:tcW w:type="dxa" w:w="2800"/>
            <w:tcBorders>
              <w:top w:val="single" w:color="CCCCCC" w:sz="1"/>
              <w:left w:val="single" w:color="CCCCCC" w:sz="1"/>
              <w:bottom w:val="single" w:color="CCCCCC" w:sz="1"/>
              <w:right w:val="single" w:color="CCCCCC" w:sz="1"/>
            </w:tcBorders>
            <w:shd w:fill="F8F9F9" w:val="clear"/>
            <w:tcMar>
              <w:top w:type="dxa" w:w="80"/>
              <w:left w:type="dxa" w:w="140"/>
              <w:bottom w:type="dxa" w:w="80"/>
              <w:right w:type="dxa" w:w="100"/>
            </w:tcMar>
          </w:tcPr>
          <w:p>
            <w:r>
              <w:rPr>
                <w:rFonts w:ascii="Arial" w:cs="Arial" w:eastAsia="Arial" w:hAnsi="Arial"/>
                <w:color w:val="1B2631"/>
                <w:sz w:val="20"/>
                <w:szCs w:val="20"/>
              </w:rPr>
              <w:t xml:space="preserve">rasterio, GDAL, xarray, pyproj, netCDF4</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1B4F72"/>
                <w:sz w:val="20"/>
                <w:szCs w:val="20"/>
              </w:rPr>
              <w:t xml:space="preserve">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00"/>
            </w:tcMar>
          </w:tcPr>
          <w:p>
            <w:r>
              <w:rPr>
                <w:rFonts w:ascii="Arial" w:cs="Arial" w:eastAsia="Arial" w:hAnsi="Arial"/>
                <w:color w:val="1B2631"/>
                <w:sz w:val="20"/>
                <w:szCs w:val="20"/>
              </w:rPr>
              <w:t xml:space="preserve">AI Processing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Model anomaly detection membandingkan nilai XCH4 terhadap baseline historis. Weather tracking engine menganalisis vektor pergerakan sistem cuaca dan memproyeksikannya ke koordinat aset.</w:t>
            </w:r>
          </w:p>
        </w:tc>
        <w:tc>
          <w:tcPr>
            <w:tcW w:type="dxa" w:w="2800"/>
            <w:tcBorders>
              <w:top w:val="single" w:color="CCCCCC" w:sz="1"/>
              <w:left w:val="single" w:color="CCCCCC" w:sz="1"/>
              <w:bottom w:val="single" w:color="CCCCCC" w:sz="1"/>
              <w:right w:val="single" w:color="CCCCCC" w:sz="1"/>
            </w:tcBorders>
            <w:shd w:fill="F8F9F9" w:val="clear"/>
            <w:tcMar>
              <w:top w:type="dxa" w:w="80"/>
              <w:left w:type="dxa" w:w="140"/>
              <w:bottom w:type="dxa" w:w="80"/>
              <w:right w:type="dxa" w:w="100"/>
            </w:tcMar>
          </w:tcPr>
          <w:p>
            <w:r>
              <w:rPr>
                <w:rFonts w:ascii="Arial" w:cs="Arial" w:eastAsia="Arial" w:hAnsi="Arial"/>
                <w:color w:val="1B2631"/>
                <w:sz w:val="20"/>
                <w:szCs w:val="20"/>
              </w:rPr>
              <w:t xml:space="preserve">Python, scikit-learn / PyTorch, NumPy, SciPy</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1B4F72"/>
                <w:sz w:val="20"/>
                <w:szCs w:val="20"/>
              </w:rPr>
              <w:t xml:space="preserve">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00"/>
            </w:tcMar>
          </w:tcPr>
          <w:p>
            <w:r>
              <w:rPr>
                <w:rFonts w:ascii="Arial" w:cs="Arial" w:eastAsia="Arial" w:hAnsi="Arial"/>
                <w:color w:val="1B2631"/>
                <w:sz w:val="20"/>
                <w:szCs w:val="20"/>
              </w:rPr>
              <w:t xml:space="preserve">Storage &amp; Serving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Koordinat anomali (GeoJSON bounding box), level bahaya, dan confidence score disimpan ke database. Alert dipush ke message queue untuk trigger notifikasi.</w:t>
            </w:r>
          </w:p>
        </w:tc>
        <w:tc>
          <w:tcPr>
            <w:tcW w:type="dxa" w:w="2800"/>
            <w:tcBorders>
              <w:top w:val="single" w:color="CCCCCC" w:sz="1"/>
              <w:left w:val="single" w:color="CCCCCC" w:sz="1"/>
              <w:bottom w:val="single" w:color="CCCCCC" w:sz="1"/>
              <w:right w:val="single" w:color="CCCCCC" w:sz="1"/>
            </w:tcBorders>
            <w:shd w:fill="F8F9F9" w:val="clear"/>
            <w:tcMar>
              <w:top w:type="dxa" w:w="80"/>
              <w:left w:type="dxa" w:w="140"/>
              <w:bottom w:type="dxa" w:w="80"/>
              <w:right w:type="dxa" w:w="100"/>
            </w:tcMar>
          </w:tcPr>
          <w:p>
            <w:r>
              <w:rPr>
                <w:rFonts w:ascii="Arial" w:cs="Arial" w:eastAsia="Arial" w:hAnsi="Arial"/>
                <w:color w:val="1B2631"/>
                <w:sz w:val="20"/>
                <w:szCs w:val="20"/>
              </w:rPr>
              <w:t xml:space="preserve">PostgreSQL + PostGIS, Redis/BullMQ, FastAPI</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1B4F72"/>
                <w:sz w:val="20"/>
                <w:szCs w:val="20"/>
              </w:rPr>
              <w:t xml:space="preserve">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00"/>
            </w:tcMar>
          </w:tcPr>
          <w:p>
            <w:r>
              <w:rPr>
                <w:rFonts w:ascii="Arial" w:cs="Arial" w:eastAsia="Arial" w:hAnsi="Arial"/>
                <w:color w:val="1B2631"/>
                <w:sz w:val="20"/>
                <w:szCs w:val="20"/>
              </w:rPr>
              <w:t xml:space="preserve">Presentation &amp; Alerting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Dashboard web GIS menampilkan peta aset, heatmap, dan bounding box anomali. Worker notifikasi mengirimkan alert WhatsApp dan email ke tim HSSE operasional.</w:t>
            </w:r>
          </w:p>
        </w:tc>
        <w:tc>
          <w:tcPr>
            <w:tcW w:type="dxa" w:w="2800"/>
            <w:tcBorders>
              <w:top w:val="single" w:color="CCCCCC" w:sz="1"/>
              <w:left w:val="single" w:color="CCCCCC" w:sz="1"/>
              <w:bottom w:val="single" w:color="CCCCCC" w:sz="1"/>
              <w:right w:val="single" w:color="CCCCCC" w:sz="1"/>
            </w:tcBorders>
            <w:shd w:fill="F8F9F9" w:val="clear"/>
            <w:tcMar>
              <w:top w:type="dxa" w:w="80"/>
              <w:left w:type="dxa" w:w="140"/>
              <w:bottom w:type="dxa" w:w="80"/>
              <w:right w:type="dxa" w:w="100"/>
            </w:tcMar>
          </w:tcPr>
          <w:p>
            <w:r>
              <w:rPr>
                <w:rFonts w:ascii="Arial" w:cs="Arial" w:eastAsia="Arial" w:hAnsi="Arial"/>
                <w:color w:val="1B2631"/>
                <w:sz w:val="20"/>
                <w:szCs w:val="20"/>
              </w:rPr>
              <w:t xml:space="preserve">Next.js, MapLibre GL, WhatsApp API, WebSocket</w:t>
            </w:r>
          </w:p>
        </w:tc>
      </w:tr>
    </w:tbl>
    <w:p>
      <w:pPr>
        <w:spacing w:after="80" w:before="80"/>
      </w:pPr>
      <w:r>
        <w:t xml:space="preserve"/>
      </w:r>
    </w:p>
    <w:p>
      <w:pPr>
        <w:pStyle w:val="Heading2"/>
        <w:spacing w:after="100" w:before="280"/>
      </w:pPr>
      <w:r>
        <w:rPr>
          <w:rFonts w:ascii="Arial" w:cs="Arial" w:eastAsia="Arial" w:hAnsi="Arial"/>
          <w:b/>
          <w:bCs/>
          <w:color w:val="2E86C1"/>
          <w:sz w:val="24"/>
          <w:szCs w:val="24"/>
        </w:rPr>
        <w:t xml:space="preserve">5.2 Metodologi Deteksi Anomali Metana</w:t>
      </w:r>
    </w:p>
    <w:p>
      <w:pPr>
        <w:spacing w:after="100" w:before="60"/>
      </w:pPr>
      <w:r>
        <w:rPr>
          <w:rFonts w:ascii="Arial" w:cs="Arial" w:eastAsia="Arial" w:hAnsi="Arial"/>
          <w:color w:val="1B2631"/>
          <w:sz w:val="22"/>
          <w:szCs w:val="22"/>
        </w:rPr>
        <w:t xml:space="preserve">Pendekatan deteksi didesain bertahap untuk menyeimbangkan kecepatan implementasi dengan akurasi jangka panjang:</w:t>
      </w:r>
    </w:p>
    <w:p>
      <w:pPr>
        <w:spacing w:after="80" w:before="80"/>
      </w:pPr>
      <w:r>
        <w:t xml:space="preserve"/>
      </w:r>
    </w:p>
    <w:p>
      <w:pPr>
        <w:pStyle w:val="Heading3"/>
        <w:spacing w:after="80" w:before="200"/>
      </w:pPr>
      <w:r>
        <w:rPr>
          <w:rFonts w:ascii="Arial" w:cs="Arial" w:eastAsia="Arial" w:hAnsi="Arial"/>
          <w:b/>
          <w:bCs/>
          <w:color w:val="2C3E50"/>
          <w:sz w:val="22"/>
          <w:szCs w:val="22"/>
        </w:rPr>
        <w:t xml:space="preserve">Fase MVP: Statistical Baseline Detection</w:t>
      </w:r>
    </w:p>
    <w:p>
      <w:pPr>
        <w:pStyle w:val="ListParagraph"/>
        <w:numPr>
          <w:ilvl w:val="0"/>
          <w:numId w:val="2"/>
        </w:numPr>
        <w:spacing w:after="40" w:before="40"/>
      </w:pPr>
      <w:r>
        <w:rPr>
          <w:rFonts w:ascii="Arial" w:cs="Arial" w:eastAsia="Arial" w:hAnsi="Arial"/>
          <w:color w:val="1B2631"/>
          <w:sz w:val="22"/>
          <w:szCs w:val="22"/>
        </w:rPr>
        <w:t xml:space="preserve">Bangun profil baseline konsentrasi XCH4 per piksel AOI berdasarkan data historis 30–90 hari.</w:t>
      </w:r>
    </w:p>
    <w:p>
      <w:pPr>
        <w:pStyle w:val="ListParagraph"/>
        <w:numPr>
          <w:ilvl w:val="0"/>
          <w:numId w:val="2"/>
        </w:numPr>
        <w:spacing w:after="40" w:before="40"/>
      </w:pPr>
      <w:r>
        <w:rPr>
          <w:rFonts w:ascii="Arial" w:cs="Arial" w:eastAsia="Arial" w:hAnsi="Arial"/>
          <w:color w:val="1B2631"/>
          <w:sz w:val="22"/>
          <w:szCs w:val="22"/>
        </w:rPr>
        <w:t xml:space="preserve">Deteksi anomali dipicu ketika nilai melebihi batas: baseline + kσ (umumnya k=2 hingga 3 untuk konteks industri O&amp;G).</w:t>
      </w:r>
    </w:p>
    <w:p>
      <w:pPr>
        <w:pStyle w:val="ListParagraph"/>
        <w:numPr>
          <w:ilvl w:val="0"/>
          <w:numId w:val="2"/>
        </w:numPr>
        <w:spacing w:after="40" w:before="40"/>
      </w:pPr>
      <w:r>
        <w:rPr>
          <w:rFonts w:ascii="Arial" w:cs="Arial" w:eastAsia="Arial" w:hAnsi="Arial"/>
          <w:color w:val="1B2631"/>
          <w:sz w:val="22"/>
          <w:szCs w:val="22"/>
        </w:rPr>
        <w:t xml:space="preserve">Keunggulan: tidak membutuhkan data latih, dapat dieksplain ke regulator, dapat di-deploy segera.</w:t>
      </w:r>
    </w:p>
    <w:p>
      <w:pPr>
        <w:spacing w:after="80" w:before="80"/>
      </w:pPr>
      <w:r>
        <w:t xml:space="preserve"/>
      </w:r>
    </w:p>
    <w:p>
      <w:pPr>
        <w:pStyle w:val="Heading3"/>
        <w:spacing w:after="80" w:before="200"/>
      </w:pPr>
      <w:r>
        <w:rPr>
          <w:rFonts w:ascii="Arial" w:cs="Arial" w:eastAsia="Arial" w:hAnsi="Arial"/>
          <w:b/>
          <w:bCs/>
          <w:color w:val="2C3E50"/>
          <w:sz w:val="22"/>
          <w:szCs w:val="22"/>
        </w:rPr>
        <w:t xml:space="preserve">Fase Lanjutan: Machine Learning Enhancement</w:t>
      </w:r>
    </w:p>
    <w:p>
      <w:pPr>
        <w:pStyle w:val="ListParagraph"/>
        <w:numPr>
          <w:ilvl w:val="0"/>
          <w:numId w:val="2"/>
        </w:numPr>
        <w:spacing w:after="40" w:before="40"/>
      </w:pPr>
      <w:r>
        <w:rPr>
          <w:rFonts w:ascii="Arial" w:cs="Arial" w:eastAsia="Arial" w:hAnsi="Arial"/>
          <w:color w:val="1B2631"/>
          <w:sz w:val="22"/>
          <w:szCs w:val="22"/>
        </w:rPr>
        <w:t xml:space="preserve">Isolation Forest atau Autoencoder untuk deteksi pola multivariat (XCH4, tekanan, suhu, kelembaban atmosfer).</w:t>
      </w:r>
    </w:p>
    <w:p>
      <w:pPr>
        <w:pStyle w:val="ListParagraph"/>
        <w:numPr>
          <w:ilvl w:val="0"/>
          <w:numId w:val="2"/>
        </w:numPr>
        <w:spacing w:after="40" w:before="40"/>
      </w:pPr>
      <w:r>
        <w:rPr>
          <w:rFonts w:ascii="Arial" w:cs="Arial" w:eastAsia="Arial" w:hAnsi="Arial"/>
          <w:color w:val="1B2631"/>
          <w:sz w:val="22"/>
          <w:szCs w:val="22"/>
        </w:rPr>
        <w:t xml:space="preserve">Integrasi model plume detection berbasis CNN untuk identifikasi bentuk dan arah dispersi gas.</w:t>
      </w:r>
    </w:p>
    <w:p>
      <w:pPr>
        <w:pStyle w:val="ListParagraph"/>
        <w:numPr>
          <w:ilvl w:val="0"/>
          <w:numId w:val="2"/>
        </w:numPr>
        <w:spacing w:after="40" w:before="40"/>
      </w:pPr>
      <w:r>
        <w:rPr>
          <w:rFonts w:ascii="Arial" w:cs="Arial" w:eastAsia="Arial" w:hAnsi="Arial"/>
          <w:color w:val="1B2631"/>
          <w:sz w:val="22"/>
          <w:szCs w:val="22"/>
        </w:rPr>
        <w:t xml:space="preserve">Estimasi laju emisi (kg CH4/jam) dari pola spasial yang terdeteksi.</w:t>
      </w:r>
    </w:p>
    <w:p>
      <w:pPr>
        <w:spacing w:after="80" w:before="80"/>
      </w:pPr>
      <w:r>
        <w:t xml:space="preserve"/>
      </w:r>
    </w:p>
    <w:p>
      <w:pPr>
        <w:pStyle w:val="Heading2"/>
        <w:spacing w:after="100" w:before="280"/>
      </w:pPr>
      <w:r>
        <w:rPr>
          <w:rFonts w:ascii="Arial" w:cs="Arial" w:eastAsia="Arial" w:hAnsi="Arial"/>
          <w:b/>
          <w:bCs/>
          <w:color w:val="2E86C1"/>
          <w:sz w:val="24"/>
          <w:szCs w:val="24"/>
        </w:rPr>
        <w:t xml:space="preserve">5.3 Metodologi Pemantauan Cuaca Ekstrem</w:t>
      </w:r>
    </w:p>
    <w:p>
      <w:pPr>
        <w:pStyle w:val="ListParagraph"/>
        <w:numPr>
          <w:ilvl w:val="0"/>
          <w:numId w:val="2"/>
        </w:numPr>
        <w:spacing w:after="40" w:before="40"/>
      </w:pPr>
      <w:r>
        <w:rPr>
          <w:rFonts w:ascii="Arial" w:cs="Arial" w:eastAsia="Arial" w:hAnsi="Arial"/>
          <w:color w:val="1B2631"/>
          <w:sz w:val="22"/>
          <w:szCs w:val="22"/>
        </w:rPr>
        <w:t xml:space="preserve">Ekstraksi band IR (Infrared) dan WV (Water Vapor) dari Himawari-9 untuk identifikasi sistem awan konvektif aktif.</w:t>
      </w:r>
    </w:p>
    <w:p>
      <w:pPr>
        <w:pStyle w:val="ListParagraph"/>
        <w:numPr>
          <w:ilvl w:val="0"/>
          <w:numId w:val="2"/>
        </w:numPr>
        <w:spacing w:after="40" w:before="40"/>
      </w:pPr>
      <w:r>
        <w:rPr>
          <w:rFonts w:ascii="Arial" w:cs="Arial" w:eastAsia="Arial" w:hAnsi="Arial"/>
          <w:color w:val="1B2631"/>
          <w:sz w:val="22"/>
          <w:szCs w:val="22"/>
        </w:rPr>
        <w:t xml:space="preserve">Analisis optical flow antar frame citra berturut-turut untuk menghitung vektor kecepatan dan arah sistem cuaca.</w:t>
      </w:r>
    </w:p>
    <w:p>
      <w:pPr>
        <w:pStyle w:val="ListParagraph"/>
        <w:numPr>
          <w:ilvl w:val="0"/>
          <w:numId w:val="2"/>
        </w:numPr>
        <w:spacing w:after="40" w:before="40"/>
      </w:pPr>
      <w:r>
        <w:rPr>
          <w:rFonts w:ascii="Arial" w:cs="Arial" w:eastAsia="Arial" w:hAnsi="Arial"/>
          <w:color w:val="1B2631"/>
          <w:sz w:val="22"/>
          <w:szCs w:val="22"/>
        </w:rPr>
        <w:t xml:space="preserve">Intersection analysis: proyeksikan lintasan sistem cuaca ke depan 6/12/24 jam dan hitung jarak terdekat ke koordinat aset.</w:t>
      </w:r>
    </w:p>
    <w:p>
      <w:pPr>
        <w:pStyle w:val="ListParagraph"/>
        <w:numPr>
          <w:ilvl w:val="0"/>
          <w:numId w:val="2"/>
        </w:numPr>
        <w:spacing w:after="40" w:before="40"/>
      </w:pPr>
      <w:r>
        <w:rPr>
          <w:rFonts w:ascii="Arial" w:cs="Arial" w:eastAsia="Arial" w:hAnsi="Arial"/>
          <w:color w:val="1B2631"/>
          <w:sz w:val="22"/>
          <w:szCs w:val="22"/>
        </w:rPr>
        <w:t xml:space="preserve">Integrasi data NWP (Numerical Weather Prediction) dari BMKG atau ECMWF sebagai validasi prediksi.</w:t>
      </w:r>
    </w:p>
    <w:p>
      <w:pPr>
        <w:spacing w:after="80" w:before="80"/>
      </w:pPr>
      <w:r>
        <w:t xml:space="preserve"/>
      </w:r>
    </w:p>
    <w:p>
      <w:pPr>
        <w:pStyle w:val="Heading2"/>
        <w:spacing w:after="100" w:before="280"/>
      </w:pPr>
      <w:r>
        <w:rPr>
          <w:rFonts w:ascii="Arial" w:cs="Arial" w:eastAsia="Arial" w:hAnsi="Arial"/>
          <w:b/>
          <w:bCs/>
          <w:color w:val="2E86C1"/>
          <w:sz w:val="24"/>
          <w:szCs w:val="24"/>
        </w:rPr>
        <w:t xml:space="preserve">5.4 Klasifikasi Level Bahaya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c>
          <w:tcPr>
            <w:tcW w:type="dxa" w:w="18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Kondisi</w:t>
            </w:r>
          </w:p>
        </w:tc>
        <w:tc>
          <w:tcPr>
            <w:tcW w:type="dxa" w:w="258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Tindakan Sistem</w:t>
            </w:r>
          </w:p>
        </w:tc>
        <w:tc>
          <w:tcPr>
            <w:tcW w:type="dxa" w:w="258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Tindakan Operator</w:t>
            </w:r>
          </w:p>
        </w:tc>
      </w:tr>
      <w:tr>
        <w:tc>
          <w:tcPr>
            <w:tcW w:type="dxa" w:w="18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00"/>
            </w:tcMar>
          </w:tcPr>
          <w:p>
            <w:r>
              <w:rPr>
                <w:rFonts w:ascii="Arial" w:cs="Arial" w:eastAsia="Arial" w:hAnsi="Arial"/>
                <w:b/>
                <w:bCs/>
                <w:color w:val="C0392B"/>
                <w:sz w:val="20"/>
                <w:szCs w:val="20"/>
              </w:rPr>
              <w:t xml:space="preserve">CRITICAL</w:t>
            </w:r>
          </w:p>
        </w:tc>
        <w:tc>
          <w:tcPr>
            <w:tcW w:type="dxa" w:w="2400"/>
            <w:tcBorders>
              <w:top w:val="single" w:color="CCCCCC" w:sz="1"/>
              <w:left w:val="single" w:color="CCCCCC" w:sz="1"/>
              <w:bottom w:val="single" w:color="CCCCCC" w:sz="1"/>
              <w:right w:val="single" w:color="CCCCCC" w:sz="1"/>
            </w:tcBorders>
            <w:shd w:fill="FEF9F8" w:val="clear"/>
            <w:tcMar>
              <w:top w:type="dxa" w:w="80"/>
              <w:left w:type="dxa" w:w="140"/>
              <w:bottom w:type="dxa" w:w="80"/>
              <w:right w:type="dxa" w:w="100"/>
            </w:tcMar>
          </w:tcPr>
          <w:p>
            <w:r>
              <w:rPr>
                <w:rFonts w:ascii="Arial" w:cs="Arial" w:eastAsia="Arial" w:hAnsi="Arial"/>
                <w:color w:val="1B2631"/>
                <w:sz w:val="20"/>
                <w:szCs w:val="20"/>
              </w:rPr>
              <w:t xml:space="preserve">Konsentrasi XCH4 &gt; baseline + 3σ ATAU sistem cuaca ekstrem dalam radius 50 km dari aset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Alert WhatsApp immediate + notifikasi dashboard + log insiden</w:t>
            </w:r>
          </w:p>
        </w:tc>
        <w:tc>
          <w:tcPr>
            <w:tcW w:type="dxa" w:w="2580"/>
            <w:tcBorders>
              <w:top w:val="single" w:color="CCCCCC" w:sz="1"/>
              <w:left w:val="single" w:color="CCCCCC" w:sz="1"/>
              <w:bottom w:val="single" w:color="CCCCCC" w:sz="1"/>
              <w:right w:val="single" w:color="CCCCCC" w:sz="1"/>
            </w:tcBorders>
            <w:shd w:fill="FEF9F8" w:val="clear"/>
            <w:tcMar>
              <w:top w:type="dxa" w:w="80"/>
              <w:left w:type="dxa" w:w="140"/>
              <w:bottom w:type="dxa" w:w="80"/>
              <w:right w:type="dxa" w:w="100"/>
            </w:tcMar>
          </w:tcPr>
          <w:p>
            <w:r>
              <w:rPr>
                <w:rFonts w:ascii="Arial" w:cs="Arial" w:eastAsia="Arial" w:hAnsi="Arial"/>
                <w:color w:val="1B2631"/>
                <w:sz w:val="20"/>
                <w:szCs w:val="20"/>
              </w:rPr>
              <w:t xml:space="preserve">Eskalasi ke emergency response team, persiapkan protokol evakuasi</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00"/>
            </w:tcMar>
          </w:tcPr>
          <w:p>
            <w:r>
              <w:rPr>
                <w:rFonts w:ascii="Arial" w:cs="Arial" w:eastAsia="Arial" w:hAnsi="Arial"/>
                <w:b/>
                <w:bCs/>
                <w:color w:val="D4AC0D"/>
                <w:sz w:val="20"/>
                <w:szCs w:val="20"/>
              </w:rPr>
              <w:t xml:space="preserve">WARNING</w:t>
            </w:r>
          </w:p>
        </w:tc>
        <w:tc>
          <w:tcPr>
            <w:tcW w:type="dxa" w:w="2400"/>
            <w:tcBorders>
              <w:top w:val="single" w:color="CCCCCC" w:sz="1"/>
              <w:left w:val="single" w:color="CCCCCC" w:sz="1"/>
              <w:bottom w:val="single" w:color="CCCCCC" w:sz="1"/>
              <w:right w:val="single" w:color="CCCCCC" w:sz="1"/>
            </w:tcBorders>
            <w:shd w:fill="FEFDF0" w:val="clear"/>
            <w:tcMar>
              <w:top w:type="dxa" w:w="80"/>
              <w:left w:type="dxa" w:w="140"/>
              <w:bottom w:type="dxa" w:w="80"/>
              <w:right w:type="dxa" w:w="100"/>
            </w:tcMar>
          </w:tcPr>
          <w:p>
            <w:r>
              <w:rPr>
                <w:rFonts w:ascii="Arial" w:cs="Arial" w:eastAsia="Arial" w:hAnsi="Arial"/>
                <w:color w:val="1B2631"/>
                <w:sz w:val="20"/>
                <w:szCs w:val="20"/>
              </w:rPr>
              <w:t xml:space="preserve">Konsentrasi XCH4 antara baseline + 2σ hingga 3σ ATAU cuaca ekstrem dalam radius 100 km</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Notifikasi dashboard + email summary ke supervisor</w:t>
            </w:r>
          </w:p>
        </w:tc>
        <w:tc>
          <w:tcPr>
            <w:tcW w:type="dxa" w:w="2580"/>
            <w:tcBorders>
              <w:top w:val="single" w:color="CCCCCC" w:sz="1"/>
              <w:left w:val="single" w:color="CCCCCC" w:sz="1"/>
              <w:bottom w:val="single" w:color="CCCCCC" w:sz="1"/>
              <w:right w:val="single" w:color="CCCCCC" w:sz="1"/>
            </w:tcBorders>
            <w:shd w:fill="FEFDF0" w:val="clear"/>
            <w:tcMar>
              <w:top w:type="dxa" w:w="80"/>
              <w:left w:type="dxa" w:w="140"/>
              <w:bottom w:type="dxa" w:w="80"/>
              <w:right w:type="dxa" w:w="100"/>
            </w:tcMar>
          </w:tcPr>
          <w:p>
            <w:r>
              <w:rPr>
                <w:rFonts w:ascii="Arial" w:cs="Arial" w:eastAsia="Arial" w:hAnsi="Arial"/>
                <w:color w:val="1B2631"/>
                <w:sz w:val="20"/>
                <w:szCs w:val="20"/>
              </w:rPr>
              <w:t xml:space="preserve">Tingkatkan frekuensi inspeksi lapangan, siapkan tim siaga</w:t>
            </w:r>
          </w:p>
        </w:tc>
      </w:tr>
      <w:tr>
        <w:tc>
          <w:tcPr>
            <w:tcW w:type="dxa" w:w="1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00"/>
            </w:tcMar>
          </w:tcPr>
          <w:p>
            <w:r>
              <w:rPr>
                <w:rFonts w:ascii="Arial" w:cs="Arial" w:eastAsia="Arial" w:hAnsi="Arial"/>
                <w:b/>
                <w:bCs/>
                <w:color w:val="1E8449"/>
                <w:sz w:val="20"/>
                <w:szCs w:val="20"/>
              </w:rPr>
              <w:t xml:space="preserve">NORMAL</w:t>
            </w:r>
          </w:p>
        </w:tc>
        <w:tc>
          <w:tcPr>
            <w:tcW w:type="dxa" w:w="2400"/>
            <w:tcBorders>
              <w:top w:val="single" w:color="CCCCCC" w:sz="1"/>
              <w:left w:val="single" w:color="CCCCCC" w:sz="1"/>
              <w:bottom w:val="single" w:color="CCCCCC" w:sz="1"/>
              <w:right w:val="single" w:color="CCCCCC" w:sz="1"/>
            </w:tcBorders>
            <w:shd w:fill="F0FEF4" w:val="clear"/>
            <w:tcMar>
              <w:top w:type="dxa" w:w="80"/>
              <w:left w:type="dxa" w:w="140"/>
              <w:bottom w:type="dxa" w:w="80"/>
              <w:right w:type="dxa" w:w="100"/>
            </w:tcMar>
          </w:tcPr>
          <w:p>
            <w:r>
              <w:rPr>
                <w:rFonts w:ascii="Arial" w:cs="Arial" w:eastAsia="Arial" w:hAnsi="Arial"/>
                <w:color w:val="1B2631"/>
                <w:sz w:val="20"/>
                <w:szCs w:val="20"/>
              </w:rPr>
              <w:t xml:space="preserve">Nilai dalam rentang baseline normal, tidak ada ancaman cuaca signifikan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Update dashboard tanpa alert</w:t>
            </w:r>
          </w:p>
        </w:tc>
        <w:tc>
          <w:tcPr>
            <w:tcW w:type="dxa" w:w="2580"/>
            <w:tcBorders>
              <w:top w:val="single" w:color="CCCCCC" w:sz="1"/>
              <w:left w:val="single" w:color="CCCCCC" w:sz="1"/>
              <w:bottom w:val="single" w:color="CCCCCC" w:sz="1"/>
              <w:right w:val="single" w:color="CCCCCC" w:sz="1"/>
            </w:tcBorders>
            <w:shd w:fill="F0FEF4" w:val="clear"/>
            <w:tcMar>
              <w:top w:type="dxa" w:w="80"/>
              <w:left w:type="dxa" w:w="140"/>
              <w:bottom w:type="dxa" w:w="80"/>
              <w:right w:type="dxa" w:w="100"/>
            </w:tcMar>
          </w:tcPr>
          <w:p>
            <w:r>
              <w:rPr>
                <w:rFonts w:ascii="Arial" w:cs="Arial" w:eastAsia="Arial" w:hAnsi="Arial"/>
                <w:color w:val="1B2631"/>
                <w:sz w:val="20"/>
                <w:szCs w:val="20"/>
              </w:rPr>
              <w:t xml:space="preserve">Operasional normal, pemantauan rutin</w:t>
            </w:r>
          </w:p>
        </w:tc>
      </w:tr>
    </w:tbl>
    <w:p>
      <w:pPr>
        <w:spacing w:after="80" w:before="80"/>
      </w:pPr>
      <w:r>
        <w:t xml:space="preserve"/>
      </w:r>
    </w:p>
    <w:p>
      <w:pPr>
        <w:pStyle w:val="Heading1"/>
        <w:pBdr>
          <w:bottom w:val="single" w:color="2E86C1" w:sz="6" w:space="4"/>
        </w:pBdr>
        <w:spacing w:after="120" w:before="360"/>
      </w:pPr>
      <w:r>
        <w:rPr>
          <w:rFonts w:ascii="Arial" w:cs="Arial" w:eastAsia="Arial" w:hAnsi="Arial"/>
          <w:b/>
          <w:bCs/>
          <w:color w:val="1B4F72"/>
          <w:sz w:val="28"/>
          <w:szCs w:val="28"/>
        </w:rPr>
        <w:t xml:space="preserve">6. Pendekatan Pengembangan Bertahap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200"/>
        <w:gridCol w:w="2560"/>
      </w:tblGrid>
      <w:tr>
        <w:tc>
          <w:tcPr>
            <w:tcW w:type="dxa" w:w="14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Fase</w:t>
            </w:r>
          </w:p>
        </w:tc>
        <w:tc>
          <w:tcPr>
            <w:tcW w:type="dxa" w:w="12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Timeline</w:t>
            </w:r>
          </w:p>
        </w:tc>
        <w:tc>
          <w:tcPr>
            <w:tcW w:type="dxa" w:w="42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Lingkup Pekerjaan</w:t>
            </w:r>
          </w:p>
        </w:tc>
        <w:tc>
          <w:tcPr>
            <w:tcW w:type="dxa" w:w="256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00"/>
            </w:tcMar>
          </w:tcPr>
          <w:p>
            <w:r>
              <w:rPr>
                <w:rFonts w:ascii="Arial" w:cs="Arial" w:eastAsia="Arial" w:hAnsi="Arial"/>
                <w:b/>
                <w:bCs/>
                <w:color w:val="1B4F72"/>
                <w:sz w:val="20"/>
                <w:szCs w:val="20"/>
              </w:rPr>
              <w:t xml:space="preserve">Fase 1
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Bulan 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Setup pipeline ingestion data Sentinel-5P &amp; Himawari-9. Pre-processing &amp; AOI clipping untuk 1 aset percontohan. Statistical baseline anomaly detection. Dashboard web dasar dengan peta aset &amp; bounding box. Notifikasi WhatsApp.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Platform fungsional di 1 AOI, demo live</w:t>
            </w:r>
          </w:p>
        </w:tc>
      </w:tr>
      <w:tr>
        <w:tc>
          <w:tcPr>
            <w:tcW w:type="dxa" w:w="14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00"/>
            </w:tcMar>
          </w:tcPr>
          <w:p>
            <w:r>
              <w:rPr>
                <w:rFonts w:ascii="Arial" w:cs="Arial" w:eastAsia="Arial" w:hAnsi="Arial"/>
                <w:b/>
                <w:bCs/>
                <w:color w:val="1B4F72"/>
                <w:sz w:val="20"/>
                <w:szCs w:val="20"/>
              </w:rPr>
              <w:t xml:space="preserve">Fase 2
Production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Bulan 4–6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Migrasi ke self-hosted infrastructure (MinIO, PostgreSQL, PostGIS). Scheduler otomatis (Celery). Dashboard GIS lengkap dengan heatmap &amp; riwayat anomali. Laporan otomatis. QA &amp; threshold tuning berdasarkan data aktual.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Platform production-ready, multi-aset</w:t>
            </w:r>
          </w:p>
        </w:tc>
      </w:tr>
      <w:tr>
        <w:tc>
          <w:tcPr>
            <w:tcW w:type="dxa" w:w="14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00"/>
            </w:tcMar>
          </w:tcPr>
          <w:p>
            <w:r>
              <w:rPr>
                <w:rFonts w:ascii="Arial" w:cs="Arial" w:eastAsia="Arial" w:hAnsi="Arial"/>
                <w:b/>
                <w:bCs/>
                <w:color w:val="1B4F72"/>
                <w:sz w:val="20"/>
                <w:szCs w:val="20"/>
              </w:rPr>
              <w:t xml:space="preserve">Fase 3
Enhancement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Bulan 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Ekspansi ke multiple AOI. Upgrade ke ML-based anomaly detection. Integrasi data NWP untuk prediksi cuaca lebih panjang. Evaluasi data satelit komersial (GHGSat) untuk resolusi lebih tinggi.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Platform skala penuh, roadmap ML</w:t>
            </w:r>
          </w:p>
        </w:tc>
      </w:tr>
    </w:tbl>
    <w:p>
      <w:pPr>
        <w:spacing w:after="80" w:before="80"/>
      </w:pPr>
      <w:r>
        <w:t xml:space="preserve"/>
      </w:r>
    </w:p>
    <w:p>
      <w:pPr>
        <w:pStyle w:val="Heading1"/>
        <w:pBdr>
          <w:bottom w:val="single" w:color="2E86C1" w:sz="6" w:space="4"/>
        </w:pBdr>
        <w:spacing w:after="120" w:before="360"/>
      </w:pPr>
      <w:r>
        <w:rPr>
          <w:rFonts w:ascii="Arial" w:cs="Arial" w:eastAsia="Arial" w:hAnsi="Arial"/>
          <w:b/>
          <w:bCs/>
          <w:color w:val="1B4F72"/>
          <w:sz w:val="28"/>
          <w:szCs w:val="28"/>
        </w:rPr>
        <w:t xml:space="preserve">7. Transparansi: Keterbatasan Teknis Sistem</w:t>
      </w:r>
    </w:p>
    <w:p>
      <w:pPr>
        <w:spacing w:after="100" w:before="60"/>
      </w:pPr>
      <w:r>
        <w:rPr>
          <w:rFonts w:ascii="Arial" w:cs="Arial" w:eastAsia="Arial" w:hAnsi="Arial"/>
          <w:color w:val="1B2631"/>
          <w:sz w:val="22"/>
          <w:szCs w:val="22"/>
        </w:rPr>
        <w:t xml:space="preserve">Sebagai bagian dari proposal yang kredibel, berikut adalah keterbatasan teknis yang perlu dipahami bersama: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Keterbatasan</w:t>
            </w:r>
          </w:p>
        </w:tc>
        <w:tc>
          <w:tcPr>
            <w:tcW w:type="dxa" w:w="348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Penjelasan</w:t>
            </w:r>
          </w:p>
        </w:tc>
        <w:tc>
          <w:tcPr>
            <w:tcW w:type="dxa" w:w="348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vAlign w:val="center"/>
          </w:tcPr>
          <w:p>
            <w:pPr>
              <w:jc w:val="center"/>
            </w:pPr>
            <w:r>
              <w:rPr>
                <w:rFonts w:ascii="Arial" w:cs="Arial" w:eastAsia="Arial" w:hAnsi="Arial"/>
                <w:b/>
                <w:bCs/>
                <w:color w:val="FFFFFF"/>
                <w:sz w:val="20"/>
                <w:szCs w:val="20"/>
              </w:rPr>
              <w:t xml:space="preserve">Mitigasi</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00"/>
            </w:tcMar>
          </w:tcPr>
          <w:p>
            <w:r>
              <w:rPr>
                <w:rFonts w:ascii="Arial" w:cs="Arial" w:eastAsia="Arial" w:hAnsi="Arial"/>
                <w:b/>
                <w:bCs/>
                <w:color w:val="1B4F72"/>
                <w:sz w:val="20"/>
                <w:szCs w:val="20"/>
              </w:rPr>
              <w:t xml:space="preserve">Resolusi spasial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Sentinel-5P resolusi ~7 km/piksel. Tidak dapat menentukan titik kebocoran spesifik level valve.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Sistem berperan sebagai early warning area, bukan pengganti detektor gas lokal.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00"/>
            </w:tcMar>
          </w:tcPr>
          <w:p>
            <w:r>
              <w:rPr>
                <w:rFonts w:ascii="Arial" w:cs="Arial" w:eastAsia="Arial" w:hAnsi="Arial"/>
                <w:b/>
                <w:bCs/>
                <w:color w:val="1B4F72"/>
                <w:sz w:val="20"/>
                <w:szCs w:val="20"/>
              </w:rPr>
              <w:t xml:space="preserve">Delay data</w:t>
            </w:r>
          </w:p>
        </w:tc>
        <w:tc>
          <w:tcPr>
            <w:tcW w:type="dxa" w:w="3480"/>
            <w:tcBorders>
              <w:top w:val="single" w:color="CCCCCC" w:sz="1"/>
              <w:left w:val="single" w:color="CCCCCC" w:sz="1"/>
              <w:bottom w:val="single" w:color="CCCCCC" w:sz="1"/>
              <w:right w:val="single" w:color="CCCCCC" w:sz="1"/>
            </w:tcBorders>
            <w:shd w:fill="F8F9F9" w:val="clear"/>
            <w:tcMar>
              <w:top w:type="dxa" w:w="80"/>
              <w:left w:type="dxa" w:w="140"/>
              <w:bottom w:type="dxa" w:w="80"/>
              <w:right w:type="dxa" w:w="100"/>
            </w:tcMar>
          </w:tcPr>
          <w:p>
            <w:r>
              <w:rPr>
                <w:rFonts w:ascii="Arial" w:cs="Arial" w:eastAsia="Arial" w:hAnsi="Arial"/>
                <w:color w:val="1B2631"/>
                <w:sz w:val="20"/>
                <w:szCs w:val="20"/>
              </w:rPr>
              <w:t xml:space="preserve">Data tersedia 2–6 jam setelah satellite pass. Bukan sensor real-time.</w:t>
            </w:r>
          </w:p>
        </w:tc>
        <w:tc>
          <w:tcPr>
            <w:tcW w:type="dxa" w:w="3480"/>
            <w:tcBorders>
              <w:top w:val="single" w:color="CCCCCC" w:sz="1"/>
              <w:left w:val="single" w:color="CCCCCC" w:sz="1"/>
              <w:bottom w:val="single" w:color="CCCCCC" w:sz="1"/>
              <w:right w:val="single" w:color="CCCCCC" w:sz="1"/>
            </w:tcBorders>
            <w:shd w:fill="F8F9F9" w:val="clear"/>
            <w:tcMar>
              <w:top w:type="dxa" w:w="80"/>
              <w:left w:type="dxa" w:w="140"/>
              <w:bottom w:type="dxa" w:w="80"/>
              <w:right w:type="dxa" w:w="100"/>
            </w:tcMar>
          </w:tcPr>
          <w:p>
            <w:r>
              <w:rPr>
                <w:rFonts w:ascii="Arial" w:cs="Arial" w:eastAsia="Arial" w:hAnsi="Arial"/>
                <w:color w:val="1B2631"/>
                <w:sz w:val="20"/>
                <w:szCs w:val="20"/>
              </w:rPr>
              <w:t xml:space="preserve">Komunikasikan sebagai near real-time monitoring periodik, bukan alarm instan.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00"/>
            </w:tcMar>
          </w:tcPr>
          <w:p>
            <w:r>
              <w:rPr>
                <w:rFonts w:ascii="Arial" w:cs="Arial" w:eastAsia="Arial" w:hAnsi="Arial"/>
                <w:b/>
                <w:bCs/>
                <w:color w:val="1B4F72"/>
                <w:sz w:val="20"/>
                <w:szCs w:val="20"/>
              </w:rPr>
              <w:t xml:space="preserve">Tutupan awan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Awan tebal mengganggu pembacaan optik dan SWIR. Wilayah tropis berpotensi cloud cover tinggi.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B2631"/>
                <w:sz w:val="20"/>
                <w:szCs w:val="20"/>
              </w:rPr>
              <w:t xml:space="preserve">Alert hanya dikirim ketika data kualitas tinggi tersedia; akumulasi data multi-pass.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00"/>
            </w:tcMar>
          </w:tcPr>
          <w:p>
            <w:r>
              <w:rPr>
                <w:rFonts w:ascii="Arial" w:cs="Arial" w:eastAsia="Arial" w:hAnsi="Arial"/>
                <w:b/>
                <w:bCs/>
                <w:color w:val="1B4F72"/>
                <w:sz w:val="20"/>
                <w:szCs w:val="20"/>
              </w:rPr>
              <w:t xml:space="preserve">False positive</w:t>
            </w:r>
          </w:p>
        </w:tc>
        <w:tc>
          <w:tcPr>
            <w:tcW w:type="dxa" w:w="3480"/>
            <w:tcBorders>
              <w:top w:val="single" w:color="CCCCCC" w:sz="1"/>
              <w:left w:val="single" w:color="CCCCCC" w:sz="1"/>
              <w:bottom w:val="single" w:color="CCCCCC" w:sz="1"/>
              <w:right w:val="single" w:color="CCCCCC" w:sz="1"/>
            </w:tcBorders>
            <w:shd w:fill="F8F9F9" w:val="clear"/>
            <w:tcMar>
              <w:top w:type="dxa" w:w="80"/>
              <w:left w:type="dxa" w:w="140"/>
              <w:bottom w:type="dxa" w:w="80"/>
              <w:right w:type="dxa" w:w="100"/>
            </w:tcMar>
          </w:tcPr>
          <w:p>
            <w:r>
              <w:rPr>
                <w:rFonts w:ascii="Arial" w:cs="Arial" w:eastAsia="Arial" w:hAnsi="Arial"/>
                <w:color w:val="1B2631"/>
                <w:sz w:val="20"/>
                <w:szCs w:val="20"/>
              </w:rPr>
              <w:t xml:space="preserve">Variasi atmosferik alami dapat memicu deteksi anomali yang bukan kebocoran aktual.</w:t>
            </w:r>
          </w:p>
        </w:tc>
        <w:tc>
          <w:tcPr>
            <w:tcW w:type="dxa" w:w="3480"/>
            <w:tcBorders>
              <w:top w:val="single" w:color="CCCCCC" w:sz="1"/>
              <w:left w:val="single" w:color="CCCCCC" w:sz="1"/>
              <w:bottom w:val="single" w:color="CCCCCC" w:sz="1"/>
              <w:right w:val="single" w:color="CCCCCC" w:sz="1"/>
            </w:tcBorders>
            <w:shd w:fill="F8F9F9" w:val="clear"/>
            <w:tcMar>
              <w:top w:type="dxa" w:w="80"/>
              <w:left w:type="dxa" w:w="140"/>
              <w:bottom w:type="dxa" w:w="80"/>
              <w:right w:type="dxa" w:w="100"/>
            </w:tcMar>
          </w:tcPr>
          <w:p>
            <w:r>
              <w:rPr>
                <w:rFonts w:ascii="Arial" w:cs="Arial" w:eastAsia="Arial" w:hAnsi="Arial"/>
                <w:color w:val="1B2631"/>
                <w:sz w:val="20"/>
                <w:szCs w:val="20"/>
              </w:rPr>
              <w:t xml:space="preserve">Threshold konservatif; setiap alert mencantumkan confidence score untuk asesmen operator.</w:t>
            </w:r>
          </w:p>
        </w:tc>
      </w:tr>
    </w:tbl>
    <w:p>
      <w:pPr>
        <w:spacing w:after="80" w:before="80"/>
      </w:pPr>
      <w:r>
        <w:t xml:space="preserve"/>
      </w:r>
    </w:p>
    <w:p>
      <w:pPr>
        <w:pStyle w:val="Heading1"/>
        <w:pBdr>
          <w:bottom w:val="single" w:color="2E86C1" w:sz="6" w:space="4"/>
        </w:pBdr>
        <w:spacing w:after="120" w:before="360"/>
      </w:pPr>
      <w:r>
        <w:rPr>
          <w:rFonts w:ascii="Arial" w:cs="Arial" w:eastAsia="Arial" w:hAnsi="Arial"/>
          <w:b/>
          <w:bCs/>
          <w:color w:val="1B4F72"/>
          <w:sz w:val="28"/>
          <w:szCs w:val="28"/>
        </w:rPr>
        <w:t xml:space="preserve">8. Model Kerjasama yang Disarankan</w:t>
      </w:r>
    </w:p>
    <w:p>
      <w:pPr>
        <w:pStyle w:val="Heading2"/>
        <w:spacing w:after="100" w:before="280"/>
      </w:pPr>
      <w:r>
        <w:rPr>
          <w:rFonts w:ascii="Arial" w:cs="Arial" w:eastAsia="Arial" w:hAnsi="Arial"/>
          <w:b/>
          <w:bCs/>
          <w:color w:val="2E86C1"/>
          <w:sz w:val="24"/>
          <w:szCs w:val="24"/>
        </w:rPr>
        <w:t xml:space="preserve">Opsi A — Project Development (One-time)</w:t>
      </w:r>
    </w:p>
    <w:p>
      <w:pPr>
        <w:spacing w:after="100" w:before="60"/>
      </w:pPr>
      <w:r>
        <w:rPr>
          <w:rFonts w:ascii="Arial" w:cs="Arial" w:eastAsia="Arial" w:hAnsi="Arial"/>
          <w:color w:val="1B2631"/>
          <w:sz w:val="22"/>
          <w:szCs w:val="22"/>
        </w:rPr>
        <w:t xml:space="preserve">CRI membangun platform EWS secara penuh dan menyerahkan source code serta infrastruktur kepada klien. Klien yang mengelola dan mengoperasikan sistem setelahnya. Cocok jika klien memiliki tim IT internal.</w:t>
      </w:r>
    </w:p>
    <w:p>
      <w:pPr>
        <w:spacing w:after="80" w:before="80"/>
      </w:pPr>
      <w:r>
        <w:t xml:space="preserve"/>
      </w:r>
    </w:p>
    <w:p>
      <w:pPr>
        <w:pStyle w:val="Heading2"/>
        <w:spacing w:after="100" w:before="280"/>
      </w:pPr>
      <w:r>
        <w:rPr>
          <w:rFonts w:ascii="Arial" w:cs="Arial" w:eastAsia="Arial" w:hAnsi="Arial"/>
          <w:b/>
          <w:bCs/>
          <w:color w:val="2E86C1"/>
          <w:sz w:val="24"/>
          <w:szCs w:val="24"/>
        </w:rPr>
        <w:t xml:space="preserve">Opsi B — Managed Service (Direkomendasikan)</w:t>
      </w:r>
    </w:p>
    <w:p>
      <w:pPr>
        <w:spacing w:after="100" w:before="60"/>
      </w:pPr>
      <w:r>
        <w:rPr>
          <w:rFonts w:ascii="Arial" w:cs="Arial" w:eastAsia="Arial" w:hAnsi="Arial"/>
          <w:color w:val="1B2631"/>
          <w:sz w:val="22"/>
          <w:szCs w:val="22"/>
        </w:rPr>
        <w:t xml:space="preserve">CRI membangun dan mengoperasikan platform sebagai layanan berkelanjutan. Klien membayar biaya bulanan untuk monitoring aktif, pemeliharaan pipeline, dan pembaruan model. Mengingat pipeline data satelit membutuhkan maintenance ongoing (jadwal orbit berubah, kalibrasi model, pembaruan sumber data), model ini lebih sesuai secara operasional dan memberikan jaminan ketersediaan layanan.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2E86C1" w:sz="8"/>
              <w:bottom w:val="single" w:color="CCCCCC" w:sz="1"/>
              <w:right w:val="single" w:color="CCCCCC" w:sz="1"/>
            </w:tcBorders>
            <w:shd w:fill="EBF5FB" w:val="clear"/>
            <w:tcMar>
              <w:top w:type="dxa" w:w="120"/>
              <w:left w:type="dxa" w:w="200"/>
              <w:bottom w:type="dxa" w:w="120"/>
              <w:right w:type="dxa" w:w="200"/>
            </w:tcMar>
          </w:tcPr>
          <w:p>
            <w:pPr>
              <w:spacing w:after="80" w:before="60"/>
            </w:pPr>
            <w:r>
              <w:rPr>
                <w:rFonts w:ascii="Arial" w:cs="Arial" w:eastAsia="Arial" w:hAnsi="Arial"/>
                <w:b/>
                <w:bCs/>
                <w:color w:val="1B4F72"/>
                <w:sz w:val="22"/>
                <w:szCs w:val="22"/>
              </w:rPr>
              <w:t xml:space="preserve">Mengapa Managed Service Lebih Disarankan</w:t>
            </w:r>
          </w:p>
          <w:p>
            <w:pPr>
              <w:pStyle w:val="ListParagraph"/>
              <w:numPr>
                <w:ilvl w:val="0"/>
                <w:numId w:val="2"/>
              </w:numPr>
              <w:spacing w:after="30" w:before="30"/>
            </w:pPr>
            <w:r>
              <w:rPr>
                <w:rFonts w:ascii="Arial" w:cs="Arial" w:eastAsia="Arial" w:hAnsi="Arial"/>
                <w:color w:val="1B2631"/>
                <w:sz w:val="20"/>
                <w:szCs w:val="20"/>
              </w:rPr>
              <w:t xml:space="preserve">Pipeline data satelit membutuhkan maintenance aktif: jadwal orbit berubah, server ESA kadang down, threshold model perlu dikalibrasi.</w:t>
            </w:r>
          </w:p>
          <w:p>
            <w:pPr>
              <w:pStyle w:val="ListParagraph"/>
              <w:numPr>
                <w:ilvl w:val="0"/>
                <w:numId w:val="2"/>
              </w:numPr>
              <w:spacing w:after="30" w:before="30"/>
            </w:pPr>
            <w:r>
              <w:rPr>
                <w:rFonts w:ascii="Arial" w:cs="Arial" w:eastAsia="Arial" w:hAnsi="Arial"/>
                <w:color w:val="1B2631"/>
                <w:sz w:val="20"/>
                <w:szCs w:val="20"/>
              </w:rPr>
              <w:t xml:space="preserve">Klien mendapatkan ketersediaan layanan yang dijamin tanpa perlu membangun kapasitas teknis internal.</w:t>
            </w:r>
          </w:p>
          <w:p>
            <w:pPr>
              <w:pStyle w:val="ListParagraph"/>
              <w:numPr>
                <w:ilvl w:val="0"/>
                <w:numId w:val="2"/>
              </w:numPr>
              <w:spacing w:after="30" w:before="30"/>
            </w:pPr>
            <w:r>
              <w:rPr>
                <w:rFonts w:ascii="Arial" w:cs="Arial" w:eastAsia="Arial" w:hAnsi="Arial"/>
                <w:color w:val="1B2631"/>
                <w:sz w:val="20"/>
                <w:szCs w:val="20"/>
              </w:rPr>
              <w:t xml:space="preserve">CRI dapat mengakumulasi pengetahuan dan data yang terus meningkatkan kualitas model deteksi.</w:t>
            </w:r>
          </w:p>
          <w:p>
            <w:pPr>
              <w:pStyle w:val="ListParagraph"/>
              <w:numPr>
                <w:ilvl w:val="0"/>
                <w:numId w:val="2"/>
              </w:numPr>
              <w:spacing w:after="30" w:before="30"/>
            </w:pPr>
            <w:r>
              <w:rPr>
                <w:rFonts w:ascii="Arial" w:cs="Arial" w:eastAsia="Arial" w:hAnsi="Arial"/>
                <w:color w:val="1B2631"/>
                <w:sz w:val="20"/>
                <w:szCs w:val="20"/>
              </w:rPr>
              <w:t xml:space="preserve">Lebih mudah di-scale ke klien lain tanpa duplikasi effort pembangunan infrastruktur.</w:t>
            </w:r>
          </w:p>
        </w:tc>
      </w:tr>
    </w:tbl>
    <w:p>
      <w:pPr>
        <w:spacing w:after="80" w:before="80"/>
      </w:pPr>
      <w:r>
        <w:t xml:space="preserve"/>
      </w:r>
    </w:p>
    <w:p>
      <w:pPr>
        <w:spacing w:after="200" w:before="400"/>
        <w:jc w:val="center"/>
      </w:pPr>
      <w:r>
        <w:rPr>
          <w:rFonts w:ascii="Arial" w:cs="Arial" w:eastAsia="Arial" w:hAnsi="Arial"/>
          <w:i/>
          <w:iCs/>
          <w:color w:val="888888"/>
          <w:sz w:val="18"/>
          <w:szCs w:val="18"/>
        </w:rPr>
        <w:t xml:space="preserve">— Dokumen ini bersifat konfidensial —</w:t>
      </w:r>
    </w:p>
    <w:p>
      <w:pPr>
        <w:spacing w:after="0" w:before="0"/>
        <w:jc w:val="center"/>
      </w:pPr>
      <w:r>
        <w:rPr>
          <w:rFonts w:ascii="Arial" w:cs="Arial" w:eastAsia="Arial" w:hAnsi="Arial"/>
          <w:color w:val="888888"/>
          <w:sz w:val="18"/>
          <w:szCs w:val="18"/>
        </w:rPr>
        <w:t xml:space="preserve">PT Cliste Rekayasa Indonesia</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86C1"/>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2026-06-09T15:19:06.093Z</dcterms:created>
  <dcterms:modified xsi:type="dcterms:W3CDTF">2026-06-09T15:19:06.105Z</dcterms:modified>
</cp:coreProperties>
</file>

<file path=docProps/custom.xml><?xml version="1.0" encoding="utf-8"?>
<Properties xmlns="http://schemas.openxmlformats.org/officeDocument/2006/custom-properties" xmlns:vt="http://schemas.openxmlformats.org/officeDocument/2006/docPropsVTypes"/>
</file>