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00"/>
        <w:rPr/>
      </w:pPr>
      <w:r>
        <w:rPr/>
      </w:r>
    </w:p>
    <w:p>
      <w:pPr>
        <w:pStyle w:val="Normal"/>
        <w:spacing w:before="0" w:after="180"/>
        <w:jc w:val="center"/>
        <w:rPr/>
      </w:pPr>
      <w:r>
        <w:rPr>
          <w:rFonts w:eastAsia="Arial" w:cs="Arial"/>
          <w:b/>
          <w:bCs/>
          <w:color w:val="1F3864"/>
          <w:sz w:val="40"/>
          <w:szCs w:val="40"/>
        </w:rPr>
        <w:t>PROPOSAL TEKNIS &amp; BISNIS</w:t>
      </w:r>
    </w:p>
    <w:p>
      <w:pPr>
        <w:pStyle w:val="Normal"/>
        <w:spacing w:before="0" w:after="120"/>
        <w:jc w:val="center"/>
        <w:rPr/>
      </w:pPr>
      <w:r>
        <w:rPr>
          <w:rFonts w:eastAsia="Arial" w:cs="Arial"/>
          <w:b/>
          <w:bCs/>
          <w:color w:val="1F3864"/>
          <w:sz w:val="28"/>
          <w:szCs w:val="28"/>
        </w:rPr>
        <w:t>Sistem Peringatan Dini (Early Warning System) HSSE</w:t>
      </w:r>
    </w:p>
    <w:p>
      <w:pPr>
        <w:pStyle w:val="Normal"/>
        <w:spacing w:before="0" w:after="80"/>
        <w:jc w:val="center"/>
        <w:rPr/>
      </w:pPr>
      <w:r>
        <w:rPr>
          <w:rFonts w:eastAsia="Arial" w:cs="Arial"/>
          <w:color w:val="2E75B6"/>
          <w:sz w:val="26"/>
          <w:szCs w:val="26"/>
        </w:rPr>
        <w:t>Berbasis Citra Satelit &amp; Kecerdasan Buatan</w:t>
      </w:r>
    </w:p>
    <w:p>
      <w:pPr>
        <w:pStyle w:val="Normal"/>
        <w:spacing w:before="0" w:after="560"/>
        <w:jc w:val="center"/>
        <w:rPr/>
      </w:pPr>
      <w:r>
        <w:rPr>
          <w:rFonts w:eastAsia="Arial" w:cs="Arial"/>
          <w:i/>
          <w:iCs/>
          <w:color w:val="2E75B6"/>
          <w:sz w:val="22"/>
          <w:szCs w:val="22"/>
        </w:rPr>
        <w:t>Pemantauan Strategis Emisi Metana &amp; Cuaca Ekstrem untuk Industri Migas</w:t>
      </w:r>
    </w:p>
    <w:tbl>
      <w:tblPr>
        <w:tblW w:w="9638" w:type="dxa"/>
        <w:jc w:val="start"/>
        <w:tblInd w:w="0" w:type="dxa"/>
        <w:tblLayout w:type="fixed"/>
        <w:tblCellMar>
          <w:top w:w="100" w:type="dxa"/>
          <w:start w:w="140" w:type="dxa"/>
          <w:bottom w:w="100" w:type="dxa"/>
          <w:end w:w="140" w:type="dxa"/>
        </w:tblCellMar>
      </w:tblPr>
      <w:tblGrid>
        <w:gridCol w:w="4819"/>
        <w:gridCol w:w="4819"/>
      </w:tblGrid>
      <w:tr>
        <w:trPr/>
        <w:tc>
          <w:tcPr>
            <w:tcW w:w="481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80"/>
              <w:rPr/>
            </w:pPr>
            <w:r>
              <w:rPr>
                <w:rFonts w:eastAsia="Arial" w:cs="Arial"/>
                <w:color w:val="666666"/>
                <w:sz w:val="20"/>
                <w:szCs w:val="20"/>
              </w:rPr>
              <w:t>Diperuntukkan untuk:</w:t>
            </w:r>
          </w:p>
          <w:p>
            <w:pPr>
              <w:pStyle w:val="Normal"/>
              <w:spacing w:before="0" w:after="0"/>
              <w:rPr/>
            </w:pPr>
            <w:r>
              <w:rPr>
                <w:rFonts w:eastAsia="Arial" w:cs="Arial"/>
                <w:b/>
                <w:bCs/>
                <w:color w:val="1F3864"/>
                <w:sz w:val="24"/>
                <w:szCs w:val="24"/>
              </w:rPr>
              <w:t>Operator Industri Minyak &amp; Gas</w:t>
            </w:r>
          </w:p>
        </w:tc>
        <w:tc>
          <w:tcPr>
            <w:tcW w:w="4819" w:type="dxa"/>
            <w:tcBorders>
              <w:top w:val="single" w:sz="4" w:space="0" w:color="1F3864"/>
              <w:start w:val="single" w:sz="4" w:space="0" w:color="1F3864"/>
              <w:bottom w:val="single" w:sz="4" w:space="0" w:color="1F3864"/>
              <w:end w:val="single" w:sz="4" w:space="0" w:color="1F3864"/>
            </w:tcBorders>
            <w:shd w:fill="1F3864" w:val="clear"/>
          </w:tcPr>
          <w:p>
            <w:pPr>
              <w:pStyle w:val="Normal"/>
              <w:spacing w:before="0" w:after="80"/>
              <w:rPr/>
            </w:pPr>
            <w:r>
              <w:rPr>
                <w:rFonts w:eastAsia="Arial" w:cs="Arial"/>
                <w:color w:val="FFFFFF"/>
                <w:sz w:val="20"/>
                <w:szCs w:val="20"/>
              </w:rPr>
              <w:t>Disiapkan oleh:</w:t>
            </w:r>
          </w:p>
          <w:p>
            <w:pPr>
              <w:pStyle w:val="Normal"/>
              <w:spacing w:before="0" w:after="80"/>
              <w:rPr/>
            </w:pPr>
            <w:r>
              <w:rPr>
                <w:rFonts w:eastAsia="Arial" w:cs="Arial"/>
                <w:b/>
                <w:bCs/>
                <w:color w:val="FFFFFF"/>
                <w:sz w:val="24"/>
                <w:szCs w:val="24"/>
              </w:rPr>
              <w:t>PT Cliste Rekayasa Indonesia</w:t>
            </w:r>
          </w:p>
          <w:p>
            <w:pPr>
              <w:pStyle w:val="Normal"/>
              <w:spacing w:before="0" w:after="0"/>
              <w:rPr/>
            </w:pPr>
            <w:r>
              <w:rPr>
                <w:rFonts w:eastAsia="Arial" w:cs="Arial"/>
                <w:color w:val="FFFFFF"/>
                <w:sz w:val="20"/>
                <w:szCs w:val="20"/>
              </w:rPr>
              <w:t>2025</w:t>
            </w:r>
          </w:p>
        </w:tc>
      </w:tr>
    </w:tbl>
    <w:p>
      <w:pPr>
        <w:pStyle w:val="Normal"/>
        <w:spacing w:before="0" w:after="180"/>
        <w:rPr/>
      </w:pPr>
      <w:r>
        <w:rPr/>
      </w:r>
    </w:p>
    <w:p>
      <w:pPr>
        <w:pStyle w:val="Normal"/>
        <w:spacing w:before="0" w:after="0"/>
        <w:jc w:val="center"/>
        <w:rPr/>
      </w:pPr>
      <w:r>
        <w:rPr>
          <w:rFonts w:eastAsia="Arial" w:cs="Arial"/>
          <w:i/>
          <w:iCs/>
          <w:color w:val="888888"/>
          <w:sz w:val="18"/>
          <w:szCs w:val="18"/>
        </w:rPr>
        <w:t>Dokumen ini bersifat konfidensial dan ditujukan khusus untuk penerima yang tercantum.</w:t>
      </w:r>
    </w:p>
    <w:p>
      <w:pPr>
        <w:pStyle w:val="Normal"/>
        <w:spacing w:before="0" w:after="0"/>
        <w:rPr/>
      </w:pPr>
      <w:r>
        <w:rPr/>
      </w:r>
      <w:r>
        <w:br w:type="page"/>
      </w:r>
    </w:p>
    <w:p>
      <w:pPr>
        <w:pStyle w:val="Heading1"/>
        <w:pBdr>
          <w:bottom w:val="single" w:sz="8" w:space="2" w:color="2E75B6"/>
        </w:pBdr>
        <w:spacing w:before="0" w:after="200"/>
        <w:rPr/>
      </w:pPr>
      <w:r>
        <w:rPr>
          <w:rFonts w:eastAsia="Arial" w:cs="Arial" w:ascii="Arial" w:hAnsi="Arial"/>
          <w:b/>
          <w:bCs/>
          <w:color w:val="1F3864"/>
          <w:sz w:val="30"/>
          <w:szCs w:val="30"/>
        </w:rPr>
        <w:t>1. Ringkasan Eksekutif</w:t>
      </w:r>
    </w:p>
    <w:p>
      <w:pPr>
        <w:pStyle w:val="Normal"/>
        <w:spacing w:before="0" w:after="160"/>
        <w:rPr/>
      </w:pPr>
      <w:r>
        <w:rPr>
          <w:rFonts w:eastAsia="Arial" w:cs="Arial"/>
          <w:sz w:val="22"/>
          <w:szCs w:val="22"/>
        </w:rPr>
        <w:t>Industri minyak dan gas menghadapi dua ancaman operasional yang sulit dipantau secara konvensional: akumulasi gas metana yang berpotensi memicu kebakaran dan ledakan, serta pergerakan cuaca ekstrem yang dapat mengganggu operasional aset secara tiba-tiba.</w:t>
      </w:r>
    </w:p>
    <w:p>
      <w:pPr>
        <w:pStyle w:val="Normal"/>
        <w:spacing w:before="0" w:after="160"/>
        <w:rPr/>
      </w:pPr>
      <w:r>
        <w:rPr>
          <w:rFonts w:eastAsia="Arial" w:cs="Arial"/>
          <w:sz w:val="22"/>
          <w:szCs w:val="22"/>
        </w:rPr>
        <w:t>PT Cliste Rekayasa Indonesia (CRI) menawarkan solusi Early Warning System (EWS) HSSE berbasis citra satelit dan kecerdasan buatan. Sistem ini memungkinkan pemantauan strategis kedua ancaman tersebut secara periodik dan otomatis, tanpa memerlukan sensor fisik tambahan di lapangan.</w:t>
      </w:r>
    </w:p>
    <w:p>
      <w:pPr>
        <w:pStyle w:val="Normal"/>
        <w:spacing w:before="0" w:after="80"/>
        <w:rPr/>
      </w:pPr>
      <w:r>
        <w:rPr/>
      </w:r>
    </w:p>
    <w:tbl>
      <w:tblPr>
        <w:tblW w:w="9638" w:type="dxa"/>
        <w:jc w:val="start"/>
        <w:tblInd w:w="0" w:type="dxa"/>
        <w:tblLayout w:type="fixed"/>
        <w:tblCellMar>
          <w:top w:w="140" w:type="dxa"/>
          <w:start w:w="240" w:type="dxa"/>
          <w:bottom w:w="140" w:type="dxa"/>
          <w:end w:w="160" w:type="dxa"/>
        </w:tblCellMar>
      </w:tblPr>
      <w:tblGrid>
        <w:gridCol w:w="9638"/>
      </w:tblGrid>
      <w:tr>
        <w:trPr/>
        <w:tc>
          <w:tcPr>
            <w:tcW w:w="9638" w:type="dxa"/>
            <w:tcBorders>
              <w:start w:val="single" w:sz="24" w:space="0" w:color="2E75B6"/>
            </w:tcBorders>
            <w:shd w:fill="D9E2F3" w:val="clear"/>
          </w:tcPr>
          <w:p>
            <w:pPr>
              <w:pStyle w:val="Normal"/>
              <w:spacing w:before="0" w:after="100"/>
              <w:rPr/>
            </w:pPr>
            <w:r>
              <w:rPr>
                <w:rFonts w:eastAsia="Arial" w:cs="Arial"/>
                <w:b/>
                <w:bCs/>
                <w:color w:val="1F3864"/>
                <w:sz w:val="22"/>
                <w:szCs w:val="22"/>
              </w:rPr>
              <w:t>Proposisi Nilai Utama</w:t>
            </w:r>
          </w:p>
          <w:p>
            <w:pPr>
              <w:pStyle w:val="ListParagraph"/>
              <w:numPr>
                <w:ilvl w:val="0"/>
                <w:numId w:val="3"/>
              </w:numPr>
              <w:spacing w:before="0" w:after="80"/>
              <w:rPr/>
            </w:pPr>
            <w:r>
              <w:rPr>
                <w:rFonts w:eastAsia="Arial" w:cs="Arial"/>
                <w:sz w:val="22"/>
                <w:szCs w:val="22"/>
              </w:rPr>
              <w:t>Pemantauan metana &amp; cuaca ekstrem berbasis data satelit publik — zero biaya hardware sensor</w:t>
            </w:r>
          </w:p>
          <w:p>
            <w:pPr>
              <w:pStyle w:val="ListParagraph"/>
              <w:numPr>
                <w:ilvl w:val="0"/>
                <w:numId w:val="1"/>
              </w:numPr>
              <w:spacing w:before="0" w:after="80"/>
              <w:rPr/>
            </w:pPr>
            <w:r>
              <w:rPr>
                <w:rFonts w:eastAsia="Arial" w:cs="Arial"/>
                <w:sz w:val="22"/>
                <w:szCs w:val="22"/>
              </w:rPr>
              <w:t>Deteksi anomali otomatis menggunakan statistical baseline dan optical flow tracking</w:t>
            </w:r>
          </w:p>
          <w:p>
            <w:pPr>
              <w:pStyle w:val="ListParagraph"/>
              <w:numPr>
                <w:ilvl w:val="0"/>
                <w:numId w:val="1"/>
              </w:numPr>
              <w:spacing w:before="0" w:after="80"/>
              <w:rPr/>
            </w:pPr>
            <w:r>
              <w:rPr>
                <w:rFonts w:eastAsia="Arial" w:cs="Arial"/>
                <w:sz w:val="22"/>
                <w:szCs w:val="22"/>
              </w:rPr>
              <w:t>Dashboard GIS interaktif untuk visualisasi kondisi seluruh aset secara terpusat</w:t>
            </w:r>
          </w:p>
          <w:p>
            <w:pPr>
              <w:pStyle w:val="ListParagraph"/>
              <w:numPr>
                <w:ilvl w:val="0"/>
                <w:numId w:val="1"/>
              </w:numPr>
              <w:spacing w:before="0" w:after="80"/>
              <w:rPr/>
            </w:pPr>
            <w:r>
              <w:rPr>
                <w:rFonts w:eastAsia="Arial" w:cs="Arial"/>
                <w:sz w:val="22"/>
                <w:szCs w:val="22"/>
              </w:rPr>
              <w:t>Data historis TROPOMI tersedia sejak 2018 untuk analisis tren jangka panjang</w:t>
            </w:r>
          </w:p>
          <w:p>
            <w:pPr>
              <w:pStyle w:val="ListParagraph"/>
              <w:numPr>
                <w:ilvl w:val="0"/>
                <w:numId w:val="1"/>
              </w:numPr>
              <w:spacing w:before="0" w:after="0"/>
              <w:rPr/>
            </w:pPr>
            <w:r>
              <w:rPr>
                <w:rFonts w:eastAsia="Arial" w:cs="Arial"/>
                <w:sz w:val="22"/>
                <w:szCs w:val="22"/>
              </w:rPr>
              <w:t>Arsitektur modular — penambahan site baru tanpa pembangunan ulang infrastruktur</w:t>
            </w:r>
          </w:p>
        </w:tc>
      </w:tr>
    </w:tbl>
    <w:p>
      <w:pPr>
        <w:pStyle w:val="Normal"/>
        <w:spacing w:before="0" w:after="120"/>
        <w:rPr/>
      </w:pPr>
      <w:r>
        <w:rPr/>
      </w:r>
    </w:p>
    <w:p>
      <w:pPr>
        <w:pStyle w:val="Normal"/>
        <w:spacing w:before="0" w:after="160"/>
        <w:rPr/>
      </w:pPr>
      <w:r>
        <w:rPr>
          <w:rFonts w:eastAsia="Arial" w:cs="Arial"/>
          <w:sz w:val="22"/>
          <w:szCs w:val="22"/>
        </w:rPr>
        <w:t>Sistem ini dirancang sebagai lapisan monitoring strategis yang melengkapi infrastruktur HSSE existing, bukan menggantikannya.</w:t>
      </w:r>
    </w:p>
    <w:p>
      <w:pPr>
        <w:pStyle w:val="Heading1"/>
        <w:pBdr>
          <w:bottom w:val="single" w:sz="8" w:space="2" w:color="2E75B6"/>
        </w:pBdr>
        <w:spacing w:before="400" w:after="200"/>
        <w:rPr/>
      </w:pPr>
      <w:r>
        <w:rPr>
          <w:rFonts w:eastAsia="Arial" w:cs="Arial" w:ascii="Arial" w:hAnsi="Arial"/>
          <w:b/>
          <w:bCs/>
          <w:color w:val="1F3864"/>
          <w:sz w:val="30"/>
          <w:szCs w:val="30"/>
        </w:rPr>
        <w:t>2. Latar Belakang &amp; Permasalahan</w:t>
      </w:r>
    </w:p>
    <w:p>
      <w:pPr>
        <w:pStyle w:val="Heading2"/>
        <w:spacing w:before="280" w:after="120"/>
        <w:rPr/>
      </w:pPr>
      <w:r>
        <w:rPr>
          <w:rFonts w:eastAsia="Arial" w:cs="Arial" w:ascii="Arial" w:hAnsi="Arial"/>
          <w:b/>
          <w:bCs/>
          <w:color w:val="1F3864"/>
          <w:sz w:val="24"/>
          <w:szCs w:val="24"/>
        </w:rPr>
        <w:t>2.1 Konteks Industri</w:t>
      </w:r>
    </w:p>
    <w:p>
      <w:pPr>
        <w:pStyle w:val="Normal"/>
        <w:spacing w:before="0" w:after="160"/>
        <w:rPr/>
      </w:pPr>
      <w:r>
        <w:rPr>
          <w:rFonts w:eastAsia="Arial" w:cs="Arial"/>
          <w:sz w:val="22"/>
          <w:szCs w:val="22"/>
        </w:rPr>
        <w:t>Aset migas — onshore (kilang, jaringan pipa) maupun offshore (rig, FPSO) — beroperasi di lingkungan dengan risiko tinggi yang membutuhkan pemantauan berkelanjutan:</w:t>
      </w:r>
    </w:p>
    <w:p>
      <w:pPr>
        <w:pStyle w:val="Normal"/>
        <w:spacing w:before="0" w:after="80"/>
        <w:rPr/>
      </w:pPr>
      <w:r>
        <w:rPr/>
      </w:r>
    </w:p>
    <w:tbl>
      <w:tblPr>
        <w:tblW w:w="9638" w:type="dxa"/>
        <w:jc w:val="start"/>
        <w:tblInd w:w="0" w:type="dxa"/>
        <w:tblLayout w:type="fixed"/>
        <w:tblCellMar>
          <w:top w:w="100" w:type="dxa"/>
          <w:start w:w="140" w:type="dxa"/>
          <w:bottom w:w="100" w:type="dxa"/>
          <w:end w:w="140" w:type="dxa"/>
        </w:tblCellMar>
      </w:tblPr>
      <w:tblGrid>
        <w:gridCol w:w="2299"/>
        <w:gridCol w:w="3101"/>
        <w:gridCol w:w="4238"/>
      </w:tblGrid>
      <w:tr>
        <w:trPr>
          <w:tblHeader w:val="true"/>
        </w:trPr>
        <w:tc>
          <w:tcPr>
            <w:tcW w:w="229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Kategori Risiko</w:t>
            </w:r>
          </w:p>
        </w:tc>
        <w:tc>
          <w:tcPr>
            <w:tcW w:w="3101"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Ancaman</w:t>
            </w:r>
          </w:p>
        </w:tc>
        <w:tc>
          <w:tcPr>
            <w:tcW w:w="4238"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Dampak Potensial</w:t>
            </w:r>
          </w:p>
        </w:tc>
      </w:tr>
      <w:tr>
        <w:trPr/>
        <w:tc>
          <w:tcPr>
            <w:tcW w:w="2299"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bCs/>
                <w:color w:val="000000"/>
                <w:sz w:val="20"/>
                <w:szCs w:val="20"/>
              </w:rPr>
              <w:t>Metana (CH4)</w:t>
            </w:r>
          </w:p>
        </w:tc>
        <w:tc>
          <w:tcPr>
            <w:tcW w:w="3101"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Akumulasi gas dari kebocoran pipa, valve, atau fasilitas. Tidak berwarna dan tidak berbau secara alami — tidak terdeteksi indera manusia.</w:t>
            </w:r>
          </w:p>
        </w:tc>
        <w:tc>
          <w:tcPr>
            <w:tcW w:w="4238"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Kebakaran, ledakan, korban jiwa, kerusakan infrastruktur, denda regulasi, kerugian reputasi.</w:t>
            </w:r>
          </w:p>
        </w:tc>
      </w:tr>
      <w:tr>
        <w:trPr/>
        <w:tc>
          <w:tcPr>
            <w:tcW w:w="2299"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start"/>
              <w:rPr/>
            </w:pPr>
            <w:r>
              <w:rPr>
                <w:rFonts w:eastAsia="Arial" w:cs="Arial"/>
                <w:b/>
                <w:bCs/>
                <w:color w:val="000000"/>
                <w:sz w:val="20"/>
                <w:szCs w:val="20"/>
              </w:rPr>
              <w:t>Cuaca Ekstrem</w:t>
            </w:r>
          </w:p>
        </w:tc>
        <w:tc>
          <w:tcPr>
            <w:tcW w:w="3101"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Badai tropis, angin kencang, sistem konvektif aktif yang bergerak mendekati area aset.</w:t>
            </w:r>
          </w:p>
        </w:tc>
        <w:tc>
          <w:tcPr>
            <w:tcW w:w="4238"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Gangguan operasional, kerusakan equipment, evakuasi darurat, potensi oil spill saat cuaca buruk.</w:t>
            </w:r>
          </w:p>
        </w:tc>
      </w:tr>
    </w:tbl>
    <w:p>
      <w:pPr>
        <w:pStyle w:val="Normal"/>
        <w:spacing w:before="0" w:after="160"/>
        <w:rPr/>
      </w:pPr>
      <w:r>
        <w:rPr/>
      </w:r>
    </w:p>
    <w:p>
      <w:pPr>
        <w:pStyle w:val="Heading2"/>
        <w:spacing w:before="280" w:after="120"/>
        <w:rPr/>
      </w:pPr>
      <w:r>
        <w:rPr>
          <w:rFonts w:eastAsia="Arial" w:cs="Arial" w:ascii="Arial" w:hAnsi="Arial"/>
          <w:b/>
          <w:bCs/>
          <w:color w:val="1F3864"/>
          <w:sz w:val="24"/>
          <w:szCs w:val="24"/>
        </w:rPr>
        <w:t>2.2 Keterbatasan Pendekatan Konvensional</w:t>
      </w:r>
    </w:p>
    <w:p>
      <w:pPr>
        <w:pStyle w:val="ListParagraph"/>
        <w:numPr>
          <w:ilvl w:val="0"/>
          <w:numId w:val="1"/>
        </w:numPr>
        <w:spacing w:before="0" w:after="80"/>
        <w:rPr/>
      </w:pPr>
      <w:r>
        <w:rPr>
          <w:rFonts w:eastAsia="Arial" w:cs="Arial"/>
          <w:sz w:val="22"/>
          <w:szCs w:val="22"/>
        </w:rPr>
        <w:t>Sensor gas fisik hanya mendeteksi kebocoran di titik pemasangan (radius 1-3 meter) — tidak memberikan gambaran konsentrasi regional. Satu kilang besar dapat memiliki 10.000+ potential leak points.</w:t>
      </w:r>
    </w:p>
    <w:p>
      <w:pPr>
        <w:pStyle w:val="ListParagraph"/>
        <w:numPr>
          <w:ilvl w:val="0"/>
          <w:numId w:val="1"/>
        </w:numPr>
        <w:spacing w:before="0" w:after="80"/>
        <w:rPr/>
      </w:pPr>
      <w:r>
        <w:rPr>
          <w:rFonts w:eastAsia="Arial" w:cs="Arial"/>
          <w:sz w:val="22"/>
          <w:szCs w:val="22"/>
        </w:rPr>
        <w:t>Pemantauan cuaca manual tidak terlokalisasi ke koordinat aset spesifik dan bergantung pada interpretasi petugas.</w:t>
      </w:r>
    </w:p>
    <w:p>
      <w:pPr>
        <w:pStyle w:val="ListParagraph"/>
        <w:numPr>
          <w:ilvl w:val="0"/>
          <w:numId w:val="1"/>
        </w:numPr>
        <w:spacing w:before="0" w:after="80"/>
        <w:rPr/>
      </w:pPr>
      <w:r>
        <w:rPr>
          <w:rFonts w:eastAsia="Arial" w:cs="Arial"/>
          <w:sz w:val="22"/>
          <w:szCs w:val="22"/>
        </w:rPr>
        <w:t>Tidak ada sistem terpusat yang menggabungkan informasi metana dan cuaca dalam satu dashboard operasional.</w:t>
      </w:r>
    </w:p>
    <w:p>
      <w:pPr>
        <w:pStyle w:val="ListParagraph"/>
        <w:numPr>
          <w:ilvl w:val="0"/>
          <w:numId w:val="1"/>
        </w:numPr>
        <w:spacing w:before="0" w:after="80"/>
        <w:rPr/>
      </w:pPr>
      <w:r>
        <w:rPr>
          <w:rFonts w:eastAsia="Arial" w:cs="Arial"/>
          <w:sz w:val="22"/>
          <w:szCs w:val="22"/>
        </w:rPr>
        <w:t>Biaya instalasi dan maintenance sensor fisik dalam jumlah besar sangat signifikan untuk aset tersebar.</w:t>
      </w:r>
    </w:p>
    <w:p>
      <w:pPr>
        <w:pStyle w:val="Normal"/>
        <w:spacing w:before="0" w:after="120"/>
        <w:rPr/>
      </w:pPr>
      <w:r>
        <w:rPr/>
      </w:r>
    </w:p>
    <w:p>
      <w:pPr>
        <w:pStyle w:val="Heading2"/>
        <w:spacing w:before="280" w:after="120"/>
        <w:rPr/>
      </w:pPr>
      <w:r>
        <w:rPr>
          <w:rFonts w:eastAsia="Arial" w:cs="Arial" w:ascii="Arial" w:hAnsi="Arial"/>
          <w:b/>
          <w:bCs/>
          <w:color w:val="1F3864"/>
          <w:sz w:val="24"/>
          <w:szCs w:val="24"/>
        </w:rPr>
        <w:t>2.3 Peluang: Data Satelit Publik yang Belum Dimanfaatkan</w:t>
      </w:r>
    </w:p>
    <w:p>
      <w:pPr>
        <w:pStyle w:val="Normal"/>
        <w:spacing w:before="0" w:after="160"/>
        <w:rPr/>
      </w:pPr>
      <w:r>
        <w:rPr>
          <w:rFonts w:eastAsia="Arial" w:cs="Arial"/>
          <w:sz w:val="22"/>
          <w:szCs w:val="22"/>
        </w:rPr>
        <w:t>ESA (European Space Agency) dan JAXA (Japan Aerospace Exploration Agency) mempublikasikan data satelit observasi bumi secara gratis, mencakup konsentrasi metana harian dari Sentinel-5P (tersedia sejak 2018) dan citra atmosfer Himawari-9 setiap 10 menit untuk seluruh Asia-Pasifik. Pemanfaatan data ini dengan algoritma deteksi otomatis membuka peluang layanan monitoring yang sebelumnya hanya dapat dilakukan lembaga riset besar.</w:t>
      </w:r>
    </w:p>
    <w:p>
      <w:pPr>
        <w:pStyle w:val="Normal"/>
        <w:spacing w:before="0" w:after="0"/>
        <w:rPr/>
      </w:pPr>
      <w:r>
        <w:rPr/>
      </w:r>
      <w:r>
        <w:br w:type="page"/>
      </w:r>
    </w:p>
    <w:p>
      <w:pPr>
        <w:pStyle w:val="Heading1"/>
        <w:pBdr>
          <w:bottom w:val="single" w:sz="8" w:space="2" w:color="2E75B6"/>
        </w:pBdr>
        <w:spacing w:before="0" w:after="200"/>
        <w:rPr/>
      </w:pPr>
      <w:r>
        <w:rPr>
          <w:rFonts w:eastAsia="Arial" w:cs="Arial" w:ascii="Arial" w:hAnsi="Arial"/>
          <w:b/>
          <w:bCs/>
          <w:color w:val="1F3864"/>
          <w:sz w:val="30"/>
          <w:szCs w:val="30"/>
        </w:rPr>
        <w:t>3. Posisi Sistem: EWS Strategis vs. EWS Taktis</w:t>
      </w:r>
    </w:p>
    <w:p>
      <w:pPr>
        <w:pStyle w:val="Normal"/>
        <w:spacing w:before="0" w:after="160"/>
        <w:rPr/>
      </w:pPr>
      <w:r>
        <w:rPr>
          <w:rFonts w:eastAsia="Arial" w:cs="Arial"/>
          <w:sz w:val="22"/>
          <w:szCs w:val="22"/>
        </w:rPr>
        <w:t>Sebelum menjabarkan solusi, penting untuk menetapkan pemahaman bersama mengenai posisi sistem ini dalam ekosistem HSSE klien.</w:t>
      </w:r>
    </w:p>
    <w:p>
      <w:pPr>
        <w:pStyle w:val="Normal"/>
        <w:spacing w:before="0" w:after="80"/>
        <w:rPr/>
      </w:pPr>
      <w:r>
        <w:rPr/>
      </w:r>
    </w:p>
    <w:tbl>
      <w:tblPr>
        <w:tblW w:w="9638" w:type="dxa"/>
        <w:jc w:val="start"/>
        <w:tblInd w:w="0" w:type="dxa"/>
        <w:tblLayout w:type="fixed"/>
        <w:tblCellMar>
          <w:top w:w="100" w:type="dxa"/>
          <w:start w:w="140" w:type="dxa"/>
          <w:bottom w:w="100" w:type="dxa"/>
          <w:end w:w="140" w:type="dxa"/>
        </w:tblCellMar>
      </w:tblPr>
      <w:tblGrid>
        <w:gridCol w:w="4819"/>
        <w:gridCol w:w="4819"/>
      </w:tblGrid>
      <w:tr>
        <w:trPr>
          <w:tblHeader w:val="true"/>
        </w:trPr>
        <w:tc>
          <w:tcPr>
            <w:tcW w:w="481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EWS Taktis (Sensor Fisik)</w:t>
            </w:r>
          </w:p>
        </w:tc>
        <w:tc>
          <w:tcPr>
            <w:tcW w:w="481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EWS Strategis — Sistem Ini</w:t>
            </w:r>
          </w:p>
        </w:tc>
      </w:tr>
      <w:tr>
        <w:trPr/>
        <w:tc>
          <w:tcPr>
            <w:tcW w:w="481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Deteksi dalam hitungan detik-menit</w:t>
            </w:r>
          </w:p>
        </w:tc>
        <w:tc>
          <w:tcPr>
            <w:tcW w:w="481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Deteksi dalam 3–6 jam setelah satellite pass</w:t>
            </w:r>
          </w:p>
        </w:tc>
      </w:tr>
      <w:tr>
        <w:trPr/>
        <w:tc>
          <w:tcPr>
            <w:tcW w:w="481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Coverage radius 1–3 meter per sensor</w:t>
            </w:r>
          </w:p>
        </w:tc>
        <w:tc>
          <w:tcPr>
            <w:tcW w:w="481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1 piksel = 7.5 x 5.5 km — coverage area regional</w:t>
            </w:r>
          </w:p>
        </w:tc>
      </w:tr>
      <w:tr>
        <w:trPr/>
        <w:tc>
          <w:tcPr>
            <w:tcW w:w="481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Memerlukan hardware di setiap titik kritis</w:t>
            </w:r>
          </w:p>
        </w:tc>
        <w:tc>
          <w:tcPr>
            <w:tcW w:w="481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Zero hardware — data langsung dari satelit orbit</w:t>
            </w:r>
          </w:p>
        </w:tc>
      </w:tr>
      <w:tr>
        <w:trPr/>
        <w:tc>
          <w:tcPr>
            <w:tcW w:w="481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Alarm insiden akut level valve/pipa spesifik</w:t>
            </w:r>
          </w:p>
        </w:tc>
        <w:tc>
          <w:tcPr>
            <w:tcW w:w="481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Deteksi anomali area dan tren jangka panjang</w:t>
            </w:r>
          </w:p>
        </w:tc>
      </w:tr>
      <w:tr>
        <w:trPr/>
        <w:tc>
          <w:tcPr>
            <w:tcW w:w="481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Tidak bisa pantau area luas tanpa ribuan sensor</w:t>
            </w:r>
          </w:p>
        </w:tc>
        <w:tc>
          <w:tcPr>
            <w:tcW w:w="481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Pantau ratusan km2 dengan satu sistem</w:t>
            </w:r>
          </w:p>
        </w:tc>
      </w:tr>
    </w:tbl>
    <w:p>
      <w:pPr>
        <w:pStyle w:val="Normal"/>
        <w:spacing w:before="0" w:after="160"/>
        <w:rPr/>
      </w:pPr>
      <w:r>
        <w:rPr/>
      </w:r>
    </w:p>
    <w:tbl>
      <w:tblPr>
        <w:tblW w:w="9638" w:type="dxa"/>
        <w:jc w:val="start"/>
        <w:tblInd w:w="0" w:type="dxa"/>
        <w:tblLayout w:type="fixed"/>
        <w:tblCellMar>
          <w:top w:w="140" w:type="dxa"/>
          <w:start w:w="240" w:type="dxa"/>
          <w:bottom w:w="140" w:type="dxa"/>
          <w:end w:w="160" w:type="dxa"/>
        </w:tblCellMar>
      </w:tblPr>
      <w:tblGrid>
        <w:gridCol w:w="9638"/>
      </w:tblGrid>
      <w:tr>
        <w:trPr/>
        <w:tc>
          <w:tcPr>
            <w:tcW w:w="9638" w:type="dxa"/>
            <w:tcBorders>
              <w:start w:val="single" w:sz="24" w:space="0" w:color="2E75B6"/>
            </w:tcBorders>
            <w:shd w:fill="D9E2F3" w:val="clear"/>
          </w:tcPr>
          <w:p>
            <w:pPr>
              <w:pStyle w:val="Normal"/>
              <w:spacing w:before="0" w:after="100"/>
              <w:rPr/>
            </w:pPr>
            <w:r>
              <w:rPr>
                <w:rFonts w:eastAsia="Arial" w:cs="Arial"/>
                <w:b/>
                <w:bCs/>
                <w:color w:val="1F3864"/>
                <w:sz w:val="22"/>
                <w:szCs w:val="22"/>
              </w:rPr>
              <w:t>Kesimpulan Posisi Sistem</w:t>
            </w:r>
          </w:p>
          <w:p>
            <w:pPr>
              <w:pStyle w:val="Normal"/>
              <w:spacing w:before="0" w:after="0"/>
              <w:rPr/>
            </w:pPr>
            <w:r>
              <w:rPr>
                <w:rFonts w:eastAsia="Arial" w:cs="Arial"/>
                <w:sz w:val="22"/>
                <w:szCs w:val="22"/>
              </w:rPr>
              <w:t xml:space="preserve">Sistem EWS berbasis satelit ini adalah lapisan monitoring strategis tambahan yang memberikan visibility regional. </w:t>
            </w:r>
            <w:r>
              <w:rPr>
                <w:rFonts w:eastAsia="Arial" w:cs="Arial"/>
                <w:b/>
                <w:bCs/>
                <w:sz w:val="22"/>
                <w:szCs w:val="22"/>
              </w:rPr>
              <w:t xml:space="preserve">Sistem ini tidak menggantikan sensor gas fisik atau prosedur emergency response, </w:t>
            </w:r>
            <w:r>
              <w:rPr>
                <w:rFonts w:eastAsia="Arial" w:cs="Arial"/>
                <w:sz w:val="22"/>
                <w:szCs w:val="22"/>
              </w:rPr>
              <w:t>melainkan melengkapinya dengan kemampuan deteksi pola dan anomali di skala yang tidak mungkin dijangkau sensor konvensional. Nilai utama: deteksi kebocoran kronis di area remote, identifikasi fasilitas emisi tinggi, dan dukungan pelaporan compliance regulasi.</w:t>
            </w:r>
          </w:p>
        </w:tc>
      </w:tr>
    </w:tbl>
    <w:p>
      <w:pPr>
        <w:pStyle w:val="Normal"/>
        <w:spacing w:before="0" w:after="0"/>
        <w:rPr/>
      </w:pPr>
      <w:r>
        <w:rPr/>
      </w:r>
      <w:r>
        <w:br w:type="page"/>
      </w:r>
    </w:p>
    <w:p>
      <w:pPr>
        <w:pStyle w:val="Heading1"/>
        <w:pBdr>
          <w:bottom w:val="single" w:sz="8" w:space="2" w:color="2E75B6"/>
        </w:pBdr>
        <w:spacing w:before="0" w:after="200"/>
        <w:rPr/>
      </w:pPr>
      <w:r>
        <w:rPr>
          <w:rFonts w:eastAsia="Arial" w:cs="Arial" w:ascii="Arial" w:hAnsi="Arial"/>
          <w:b/>
          <w:bCs/>
          <w:color w:val="1F3864"/>
          <w:sz w:val="30"/>
          <w:szCs w:val="30"/>
        </w:rPr>
        <w:t>4. Solusi yang Ditawarkan</w:t>
      </w:r>
    </w:p>
    <w:p>
      <w:pPr>
        <w:pStyle w:val="Heading2"/>
        <w:spacing w:before="280" w:after="120"/>
        <w:rPr/>
      </w:pPr>
      <w:r>
        <w:rPr>
          <w:rFonts w:eastAsia="Arial" w:cs="Arial" w:ascii="Arial" w:hAnsi="Arial"/>
          <w:b/>
          <w:bCs/>
          <w:color w:val="1F3864"/>
          <w:sz w:val="24"/>
          <w:szCs w:val="24"/>
        </w:rPr>
        <w:t>4.1 Gambaran Umum Platform</w:t>
      </w:r>
    </w:p>
    <w:p>
      <w:pPr>
        <w:pStyle w:val="Normal"/>
        <w:spacing w:before="0" w:after="160"/>
        <w:rPr/>
      </w:pPr>
      <w:r>
        <w:rPr>
          <w:rFonts w:eastAsia="Arial" w:cs="Arial"/>
          <w:sz w:val="22"/>
          <w:szCs w:val="22"/>
        </w:rPr>
        <w:t>CRI menawarkan platform EWS berbasis web yang mengintegrasikan data citra satelit publik dengan algoritma deteksi otomatis untuk memantau anomali metana dan cuaca ekstrem secara periodik:</w:t>
      </w:r>
    </w:p>
    <w:p>
      <w:pPr>
        <w:pStyle w:val="Normal"/>
        <w:spacing w:before="0" w:after="80"/>
        <w:rPr/>
      </w:pPr>
      <w:r>
        <w:rPr/>
      </w:r>
    </w:p>
    <w:tbl>
      <w:tblPr>
        <w:tblW w:w="9638" w:type="dxa"/>
        <w:jc w:val="start"/>
        <w:tblInd w:w="0" w:type="dxa"/>
        <w:tblLayout w:type="fixed"/>
        <w:tblCellMar>
          <w:top w:w="100" w:type="dxa"/>
          <w:start w:w="140" w:type="dxa"/>
          <w:bottom w:w="100" w:type="dxa"/>
          <w:end w:w="140" w:type="dxa"/>
        </w:tblCellMar>
      </w:tblPr>
      <w:tblGrid>
        <w:gridCol w:w="1899"/>
        <w:gridCol w:w="3870"/>
        <w:gridCol w:w="3869"/>
      </w:tblGrid>
      <w:tr>
        <w:trPr>
          <w:tblHeader w:val="true"/>
        </w:trPr>
        <w:tc>
          <w:tcPr>
            <w:tcW w:w="189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Komponen</w:t>
            </w:r>
          </w:p>
        </w:tc>
        <w:tc>
          <w:tcPr>
            <w:tcW w:w="387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Use Case Metana (CH4)</w:t>
            </w:r>
          </w:p>
        </w:tc>
        <w:tc>
          <w:tcPr>
            <w:tcW w:w="386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Use Case Cuaca Ekstrem</w:t>
            </w:r>
          </w:p>
        </w:tc>
      </w:tr>
      <w:tr>
        <w:trPr/>
        <w:tc>
          <w:tcPr>
            <w:tcW w:w="189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bCs/>
                <w:color w:val="000000"/>
                <w:sz w:val="20"/>
                <w:szCs w:val="20"/>
              </w:rPr>
              <w:t>Sumber Data Primer</w:t>
            </w:r>
          </w:p>
        </w:tc>
        <w:tc>
          <w:tcPr>
            <w:tcW w:w="3870"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Sentinel-5P / TROPOMI (ESA) — gratis, harian</w:t>
            </w:r>
          </w:p>
        </w:tc>
        <w:tc>
          <w:tcPr>
            <w:tcW w:w="386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Himawari-9 (JMA via AWS S3) — gratis, setiap 10 menit</w:t>
            </w:r>
          </w:p>
        </w:tc>
      </w:tr>
      <w:tr>
        <w:trPr/>
        <w:tc>
          <w:tcPr>
            <w:tcW w:w="189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Frekuensi Data</w:t>
            </w:r>
          </w:p>
        </w:tc>
        <w:tc>
          <w:tcPr>
            <w:tcW w:w="387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~1x per hari (tergantung orbit &amp; cloud cover)</w:t>
            </w:r>
          </w:p>
        </w:tc>
        <w:tc>
          <w:tcPr>
            <w:tcW w:w="386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Update tiap 10 menit, coverage penuh Asia-Pasifik</w:t>
            </w:r>
          </w:p>
        </w:tc>
      </w:tr>
      <w:tr>
        <w:trPr/>
        <w:tc>
          <w:tcPr>
            <w:tcW w:w="189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bCs/>
                <w:color w:val="000000"/>
                <w:sz w:val="20"/>
                <w:szCs w:val="20"/>
              </w:rPr>
              <w:t>Metode Deteksi</w:t>
            </w:r>
          </w:p>
        </w:tc>
        <w:tc>
          <w:tcPr>
            <w:tcW w:w="3870"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Statistical baseline anomaly detection — z-score vs. baseline historis 60 hari per piksel</w:t>
            </w:r>
          </w:p>
        </w:tc>
        <w:tc>
          <w:tcPr>
            <w:tcW w:w="386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Optical flow tracking + proyeksi lintasan 6/12/24 jam ke depan</w:t>
            </w:r>
          </w:p>
        </w:tc>
      </w:tr>
      <w:tr>
        <w:trPr/>
        <w:tc>
          <w:tcPr>
            <w:tcW w:w="189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Output</w:t>
            </w:r>
          </w:p>
        </w:tc>
        <w:tc>
          <w:tcPr>
            <w:tcW w:w="387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Bounding box area anomali + level bahaya + confidence score</w:t>
            </w:r>
          </w:p>
        </w:tc>
        <w:tc>
          <w:tcPr>
            <w:tcW w:w="386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Projected path badai + jarak ke aset + estimasi waktu kedatangan</w:t>
            </w:r>
          </w:p>
        </w:tc>
      </w:tr>
      <w:tr>
        <w:trPr/>
        <w:tc>
          <w:tcPr>
            <w:tcW w:w="189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bCs/>
                <w:color w:val="000000"/>
                <w:sz w:val="20"/>
                <w:szCs w:val="20"/>
              </w:rPr>
              <w:t>Delay ke Alert</w:t>
            </w:r>
          </w:p>
        </w:tc>
        <w:tc>
          <w:tcPr>
            <w:tcW w:w="3870"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3–6 jam setelah satellite pass</w:t>
            </w:r>
          </w:p>
        </w:tc>
        <w:tc>
          <w:tcPr>
            <w:tcW w:w="386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~15–30 menit setelah observasi</w:t>
            </w:r>
          </w:p>
        </w:tc>
      </w:tr>
    </w:tbl>
    <w:p>
      <w:pPr>
        <w:pStyle w:val="Normal"/>
        <w:spacing w:before="0" w:after="160"/>
        <w:rPr/>
      </w:pPr>
      <w:r>
        <w:rPr/>
      </w:r>
    </w:p>
    <w:p>
      <w:pPr>
        <w:pStyle w:val="Heading2"/>
        <w:spacing w:before="280" w:after="120"/>
        <w:rPr/>
      </w:pPr>
      <w:r>
        <w:rPr>
          <w:rFonts w:eastAsia="Arial" w:cs="Arial" w:ascii="Arial" w:hAnsi="Arial"/>
          <w:b/>
          <w:bCs/>
          <w:color w:val="1F3864"/>
          <w:sz w:val="24"/>
          <w:szCs w:val="24"/>
        </w:rPr>
        <w:t>4.2 Fitur Utama Platform</w:t>
      </w:r>
    </w:p>
    <w:p>
      <w:pPr>
        <w:pStyle w:val="Heading3"/>
        <w:spacing w:before="180" w:after="80"/>
        <w:rPr/>
      </w:pPr>
      <w:r>
        <w:rPr>
          <w:rFonts w:eastAsia="Arial" w:cs="Arial" w:ascii="Arial" w:hAnsi="Arial"/>
          <w:b/>
          <w:bCs/>
          <w:color w:val="2E75B6"/>
          <w:sz w:val="22"/>
          <w:szCs w:val="22"/>
        </w:rPr>
        <w:t>a. Dashboard GIS Interaktif</w:t>
      </w:r>
    </w:p>
    <w:p>
      <w:pPr>
        <w:pStyle w:val="ListParagraph"/>
        <w:numPr>
          <w:ilvl w:val="0"/>
          <w:numId w:val="1"/>
        </w:numPr>
        <w:spacing w:before="0" w:after="80"/>
        <w:rPr/>
      </w:pPr>
      <w:r>
        <w:rPr>
          <w:rFonts w:eastAsia="Arial" w:cs="Arial"/>
          <w:sz w:val="22"/>
          <w:szCs w:val="22"/>
        </w:rPr>
        <w:t>Peta berbasis web yang menampilkan seluruh aset klien beserta status terkini secara otomatis.</w:t>
      </w:r>
    </w:p>
    <w:p>
      <w:pPr>
        <w:pStyle w:val="ListParagraph"/>
        <w:numPr>
          <w:ilvl w:val="0"/>
          <w:numId w:val="1"/>
        </w:numPr>
        <w:spacing w:before="0" w:after="80"/>
        <w:rPr/>
      </w:pPr>
      <w:r>
        <w:rPr>
          <w:rFonts w:eastAsia="Arial" w:cs="Arial"/>
          <w:sz w:val="22"/>
          <w:szCs w:val="22"/>
        </w:rPr>
        <w:t>Layer heatmap konsentrasi metana yang dapat di-toggle on/off untuk setiap area yang dipantau.</w:t>
      </w:r>
    </w:p>
    <w:p>
      <w:pPr>
        <w:pStyle w:val="ListParagraph"/>
        <w:numPr>
          <w:ilvl w:val="0"/>
          <w:numId w:val="1"/>
        </w:numPr>
        <w:spacing w:before="0" w:after="80"/>
        <w:rPr/>
      </w:pPr>
      <w:r>
        <w:rPr>
          <w:rFonts w:eastAsia="Arial" w:cs="Arial"/>
          <w:sz w:val="22"/>
          <w:szCs w:val="22"/>
        </w:rPr>
        <w:t>Bounding box otomatis pada area dengan konsentrasi anomali tinggi, berkode warna level bahaya (Critical / Warning / Normal / No Data).</w:t>
      </w:r>
    </w:p>
    <w:p>
      <w:pPr>
        <w:pStyle w:val="ListParagraph"/>
        <w:numPr>
          <w:ilvl w:val="0"/>
          <w:numId w:val="1"/>
        </w:numPr>
        <w:spacing w:before="0" w:after="80"/>
        <w:rPr/>
      </w:pPr>
      <w:r>
        <w:rPr>
          <w:rFonts w:eastAsia="Arial" w:cs="Arial"/>
          <w:sz w:val="22"/>
          <w:szCs w:val="22"/>
        </w:rPr>
        <w:t>Visualisasi proyeksi lintasan cuaca ekstrem terhadap posisi aset dalam 6, 12, dan 24 jam ke depan.</w:t>
      </w:r>
    </w:p>
    <w:p>
      <w:pPr>
        <w:pStyle w:val="Normal"/>
        <w:spacing w:before="0" w:after="80"/>
        <w:rPr/>
      </w:pPr>
      <w:r>
        <w:rPr/>
      </w:r>
    </w:p>
    <w:p>
      <w:pPr>
        <w:pStyle w:val="Heading3"/>
        <w:spacing w:before="180" w:after="80"/>
        <w:rPr/>
      </w:pPr>
      <w:r>
        <w:rPr>
          <w:rFonts w:eastAsia="Arial" w:cs="Arial" w:ascii="Arial" w:hAnsi="Arial"/>
          <w:b/>
          <w:bCs/>
          <w:color w:val="2E75B6"/>
          <w:sz w:val="22"/>
          <w:szCs w:val="22"/>
        </w:rPr>
        <w:t>b. Sistem Alert Otomatis</w:t>
      </w:r>
    </w:p>
    <w:p>
      <w:pPr>
        <w:pStyle w:val="ListParagraph"/>
        <w:numPr>
          <w:ilvl w:val="0"/>
          <w:numId w:val="1"/>
        </w:numPr>
        <w:spacing w:before="0" w:after="80"/>
        <w:rPr/>
      </w:pPr>
      <w:r>
        <w:rPr>
          <w:rFonts w:eastAsia="Arial" w:cs="Arial"/>
          <w:sz w:val="22"/>
          <w:szCs w:val="22"/>
        </w:rPr>
        <w:t>Alert real-time di dashboard web ketika anomali terdeteksi — tanpa intervensi manual.</w:t>
      </w:r>
    </w:p>
    <w:p>
      <w:pPr>
        <w:pStyle w:val="ListParagraph"/>
        <w:numPr>
          <w:ilvl w:val="0"/>
          <w:numId w:val="1"/>
        </w:numPr>
        <w:spacing w:before="0" w:after="80"/>
        <w:rPr/>
      </w:pPr>
      <w:r>
        <w:rPr>
          <w:rFonts w:eastAsia="Arial" w:cs="Arial"/>
          <w:sz w:val="22"/>
          <w:szCs w:val="22"/>
        </w:rPr>
        <w:t>Setiap alert mencantumkan: jenis anomali, lokasi, tingkat bahaya, confidence score, dan timestamp data satelit.</w:t>
      </w:r>
    </w:p>
    <w:p>
      <w:pPr>
        <w:pStyle w:val="ListParagraph"/>
        <w:numPr>
          <w:ilvl w:val="0"/>
          <w:numId w:val="1"/>
        </w:numPr>
        <w:spacing w:before="0" w:after="80"/>
        <w:rPr/>
      </w:pPr>
      <w:r>
        <w:rPr>
          <w:rFonts w:eastAsia="Arial" w:cs="Arial"/>
          <w:sz w:val="22"/>
          <w:szCs w:val="22"/>
        </w:rPr>
        <w:t>Status alert dapat di-acknowledge oleh operator dengan catatan tindak lanjut untuk audit trail.</w:t>
      </w:r>
    </w:p>
    <w:p>
      <w:pPr>
        <w:pStyle w:val="ListParagraph"/>
        <w:numPr>
          <w:ilvl w:val="0"/>
          <w:numId w:val="1"/>
        </w:numPr>
        <w:spacing w:before="0" w:after="80"/>
        <w:rPr/>
      </w:pPr>
      <w:r>
        <w:rPr>
          <w:rFonts w:eastAsia="Arial" w:cs="Arial"/>
          <w:sz w:val="22"/>
          <w:szCs w:val="22"/>
        </w:rPr>
        <w:t>Roadmap: notifikasi WhatsApp ke grup operasional HSSE dan laporan email ke manajemen (post-MVP).</w:t>
      </w:r>
    </w:p>
    <w:p>
      <w:pPr>
        <w:pStyle w:val="Normal"/>
        <w:spacing w:before="0" w:after="80"/>
        <w:rPr/>
      </w:pPr>
      <w:r>
        <w:rPr/>
      </w:r>
    </w:p>
    <w:p>
      <w:pPr>
        <w:pStyle w:val="Heading3"/>
        <w:spacing w:before="180" w:after="80"/>
        <w:rPr/>
      </w:pPr>
      <w:r>
        <w:rPr>
          <w:rFonts w:eastAsia="Arial" w:cs="Arial" w:ascii="Arial" w:hAnsi="Arial"/>
          <w:b/>
          <w:bCs/>
          <w:color w:val="2E75B6"/>
          <w:sz w:val="22"/>
          <w:szCs w:val="22"/>
        </w:rPr>
        <w:t>c. Riwayat &amp; Audit Trail</w:t>
      </w:r>
    </w:p>
    <w:p>
      <w:pPr>
        <w:pStyle w:val="ListParagraph"/>
        <w:numPr>
          <w:ilvl w:val="0"/>
          <w:numId w:val="1"/>
        </w:numPr>
        <w:spacing w:before="0" w:after="80"/>
        <w:rPr/>
      </w:pPr>
      <w:r>
        <w:rPr>
          <w:rFonts w:eastAsia="Arial" w:cs="Arial"/>
          <w:sz w:val="22"/>
          <w:szCs w:val="22"/>
        </w:rPr>
        <w:t>Seluruh anomali yang terdeteksi tersimpan permanen — tidak dapat dihapus — dengan log lengkap.</w:t>
      </w:r>
    </w:p>
    <w:p>
      <w:pPr>
        <w:pStyle w:val="ListParagraph"/>
        <w:numPr>
          <w:ilvl w:val="0"/>
          <w:numId w:val="1"/>
        </w:numPr>
        <w:spacing w:before="0" w:after="80"/>
        <w:rPr/>
      </w:pPr>
      <w:r>
        <w:rPr>
          <w:rFonts w:eastAsia="Arial" w:cs="Arial"/>
          <w:sz w:val="22"/>
          <w:szCs w:val="22"/>
        </w:rPr>
        <w:t>Grafik tren konsentrasi metana per aset dari waktu ke waktu (30/60/90 hari).</w:t>
      </w:r>
    </w:p>
    <w:p>
      <w:pPr>
        <w:pStyle w:val="ListParagraph"/>
        <w:numPr>
          <w:ilvl w:val="0"/>
          <w:numId w:val="1"/>
        </w:numPr>
        <w:spacing w:before="0" w:after="80"/>
        <w:rPr/>
      </w:pPr>
      <w:r>
        <w:rPr>
          <w:rFonts w:eastAsia="Arial" w:cs="Arial"/>
          <w:sz w:val="22"/>
          <w:szCs w:val="22"/>
        </w:rPr>
        <w:t>Data historis dapat diekspor untuk keperluan pelaporan regulasi dan audit HSSE.</w:t>
      </w:r>
    </w:p>
    <w:p>
      <w:pPr>
        <w:pStyle w:val="Normal"/>
        <w:spacing w:before="0" w:after="0"/>
        <w:rPr/>
      </w:pPr>
      <w:r>
        <w:rPr/>
      </w:r>
      <w:r>
        <w:br w:type="page"/>
      </w:r>
    </w:p>
    <w:p>
      <w:pPr>
        <w:pStyle w:val="Heading1"/>
        <w:pBdr>
          <w:bottom w:val="single" w:sz="8" w:space="2" w:color="2E75B6"/>
        </w:pBdr>
        <w:spacing w:before="0" w:after="200"/>
        <w:rPr/>
      </w:pPr>
      <w:r>
        <w:rPr>
          <w:rFonts w:eastAsia="Arial" w:cs="Arial" w:ascii="Arial" w:hAnsi="Arial"/>
          <w:b/>
          <w:bCs/>
          <w:color w:val="1F3864"/>
          <w:sz w:val="30"/>
          <w:szCs w:val="30"/>
        </w:rPr>
        <w:t>5. Penilaian Sumber Data Satelit</w:t>
      </w:r>
    </w:p>
    <w:p>
      <w:pPr>
        <w:pStyle w:val="Normal"/>
        <w:spacing w:before="0" w:after="160"/>
        <w:rPr/>
      </w:pPr>
      <w:r>
        <w:rPr>
          <w:rFonts w:eastAsia="Arial" w:cs="Arial"/>
          <w:sz w:val="22"/>
          <w:szCs w:val="22"/>
        </w:rPr>
        <w:t>Bagian ini menjabarkan kondisi aktual landscape satelit pemantauan metana per pertengahan 2025, termasuk status operasional, aksesibilitas, dan strategi penggunaan dalam sistem CRI.</w:t>
      </w:r>
    </w:p>
    <w:p>
      <w:pPr>
        <w:pStyle w:val="Normal"/>
        <w:spacing w:before="0" w:after="80"/>
        <w:rPr/>
      </w:pPr>
      <w:r>
        <w:rPr/>
      </w:r>
    </w:p>
    <w:p>
      <w:pPr>
        <w:pStyle w:val="Heading2"/>
        <w:spacing w:before="280" w:after="120"/>
        <w:rPr/>
      </w:pPr>
      <w:r>
        <w:rPr>
          <w:rFonts w:eastAsia="Arial" w:cs="Arial" w:ascii="Arial" w:hAnsi="Arial"/>
          <w:b/>
          <w:bCs/>
          <w:color w:val="1F3864"/>
          <w:sz w:val="24"/>
          <w:szCs w:val="24"/>
        </w:rPr>
        <w:t>5.1 Katalog Satelit Pemantauan Metana (CH4)</w:t>
      </w:r>
    </w:p>
    <w:tbl>
      <w:tblPr>
        <w:tblW w:w="9638" w:type="dxa"/>
        <w:jc w:val="start"/>
        <w:tblInd w:w="0" w:type="dxa"/>
        <w:tblLayout w:type="fixed"/>
        <w:tblCellMar>
          <w:top w:w="100" w:type="dxa"/>
          <w:start w:w="140" w:type="dxa"/>
          <w:bottom w:w="100" w:type="dxa"/>
          <w:end w:w="140" w:type="dxa"/>
        </w:tblCellMar>
      </w:tblPr>
      <w:tblGrid>
        <w:gridCol w:w="2100"/>
        <w:gridCol w:w="999"/>
        <w:gridCol w:w="1101"/>
        <w:gridCol w:w="1337"/>
        <w:gridCol w:w="4101"/>
      </w:tblGrid>
      <w:tr>
        <w:trPr>
          <w:tblHeader w:val="true"/>
        </w:trPr>
        <w:tc>
          <w:tcPr>
            <w:tcW w:w="210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Satelit</w:t>
            </w:r>
          </w:p>
        </w:tc>
        <w:tc>
          <w:tcPr>
            <w:tcW w:w="99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Biaya</w:t>
            </w:r>
          </w:p>
        </w:tc>
        <w:tc>
          <w:tcPr>
            <w:tcW w:w="1101"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Resolusi</w:t>
            </w:r>
          </w:p>
        </w:tc>
        <w:tc>
          <w:tcPr>
            <w:tcW w:w="1337"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Frekuensi</w:t>
            </w:r>
          </w:p>
        </w:tc>
        <w:tc>
          <w:tcPr>
            <w:tcW w:w="4101"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Status &amp; Rekomendasi CRI</w:t>
            </w:r>
          </w:p>
        </w:tc>
      </w:tr>
      <w:tr>
        <w:trPr/>
        <w:tc>
          <w:tcPr>
            <w:tcW w:w="2100"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40"/>
              <w:rPr/>
            </w:pPr>
            <w:r>
              <w:rPr>
                <w:rFonts w:eastAsia="Arial" w:cs="Arial"/>
                <w:b/>
                <w:bCs/>
                <w:color w:val="1F3864"/>
                <w:sz w:val="20"/>
                <w:szCs w:val="20"/>
              </w:rPr>
              <w:t>TROPOMI (Sentinel-5P)</w:t>
            </w:r>
          </w:p>
          <w:p>
            <w:pPr>
              <w:pStyle w:val="Normal"/>
              <w:spacing w:before="0" w:after="0"/>
              <w:rPr/>
            </w:pPr>
            <w:r>
              <w:rPr>
                <w:rFonts w:eastAsia="Arial" w:cs="Arial"/>
                <w:color w:val="555555"/>
                <w:sz w:val="18"/>
                <w:szCs w:val="18"/>
              </w:rPr>
              <w:t>ESA, Eropa</w:t>
            </w:r>
          </w:p>
        </w:tc>
        <w:tc>
          <w:tcPr>
            <w:tcW w:w="999"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Gratis</w:t>
            </w:r>
          </w:p>
        </w:tc>
        <w:tc>
          <w:tcPr>
            <w:tcW w:w="1101"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7.5 x 5.5 km</w:t>
            </w:r>
          </w:p>
        </w:tc>
        <w:tc>
          <w:tcPr>
            <w:tcW w:w="1337"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~Harian, historis sejak 2018</w:t>
            </w:r>
          </w:p>
        </w:tc>
        <w:tc>
          <w:tcPr>
            <w:tcW w:w="4101"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60"/>
              <w:rPr/>
            </w:pPr>
            <w:r>
              <w:rPr>
                <w:rFonts w:eastAsia="Arial" w:cs="Arial"/>
                <w:b/>
                <w:bCs/>
                <w:color w:val="375623"/>
                <w:sz w:val="20"/>
                <w:szCs w:val="20"/>
              </w:rPr>
              <w:t>PRIMER — Digunakan di MVP</w:t>
            </w:r>
          </w:p>
          <w:p>
            <w:pPr>
              <w:pStyle w:val="Normal"/>
              <w:spacing w:before="0" w:after="0"/>
              <w:rPr/>
            </w:pPr>
            <w:r>
              <w:rPr>
                <w:rFonts w:eastAsia="Arial" w:cs="Arial"/>
                <w:sz w:val="19"/>
                <w:szCs w:val="19"/>
              </w:rPr>
              <w:t>Gratis, reliable, API terdokumentasi lengkap, data historis 7 tahun tersedia. Standar industri untuk monitoring metana regional. Basis utama seluruh sistem deteksi.</w:t>
            </w:r>
          </w:p>
        </w:tc>
      </w:tr>
      <w:tr>
        <w:trPr/>
        <w:tc>
          <w:tcPr>
            <w:tcW w:w="2100"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40"/>
              <w:rPr/>
            </w:pPr>
            <w:r>
              <w:rPr>
                <w:rFonts w:eastAsia="Arial" w:cs="Arial"/>
                <w:b/>
                <w:bCs/>
                <w:color w:val="1F3864"/>
                <w:sz w:val="20"/>
                <w:szCs w:val="20"/>
              </w:rPr>
              <w:t>Tanager-1</w:t>
            </w:r>
          </w:p>
          <w:p>
            <w:pPr>
              <w:pStyle w:val="Normal"/>
              <w:spacing w:before="0" w:after="0"/>
              <w:rPr/>
            </w:pPr>
            <w:r>
              <w:rPr>
                <w:rFonts w:eastAsia="Arial" w:cs="Arial"/>
                <w:color w:val="555555"/>
                <w:sz w:val="18"/>
                <w:szCs w:val="18"/>
              </w:rPr>
              <w:t>Carbon Mapper / Planet Labs</w:t>
            </w:r>
          </w:p>
        </w:tc>
        <w:tc>
          <w:tcPr>
            <w:tcW w:w="99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Gratis*</w:t>
            </w:r>
          </w:p>
        </w:tc>
        <w:tc>
          <w:tcPr>
            <w:tcW w:w="1101"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~30 meter</w:t>
            </w:r>
          </w:p>
        </w:tc>
        <w:tc>
          <w:tcPr>
            <w:tcW w:w="1337"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Targeted, 30 hari delay</w:t>
            </w:r>
          </w:p>
        </w:tc>
        <w:tc>
          <w:tcPr>
            <w:tcW w:w="4101"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60"/>
              <w:rPr/>
            </w:pPr>
            <w:r>
              <w:rPr>
                <w:rFonts w:eastAsia="Arial" w:cs="Arial"/>
                <w:b/>
                <w:bCs/>
                <w:color w:val="2E75B6"/>
                <w:sz w:val="20"/>
                <w:szCs w:val="20"/>
              </w:rPr>
              <w:t>Supplementary — Validasi Manual</w:t>
            </w:r>
          </w:p>
          <w:p>
            <w:pPr>
              <w:pStyle w:val="Normal"/>
              <w:spacing w:before="0" w:after="0"/>
              <w:rPr/>
            </w:pPr>
            <w:r>
              <w:rPr>
                <w:rFonts w:eastAsia="Arial" w:cs="Arial"/>
                <w:sz w:val="19"/>
                <w:szCs w:val="19"/>
              </w:rPr>
              <w:t>Diluncurkan Agustus 2024, data public portal sejak Februari 2025. Resolusi jauh lebih tinggi untuk validasi super-emitter. Delay 30 hari dan coverage tidak kontinyu — tidak cocok untuk automated pipeline.</w:t>
            </w:r>
          </w:p>
        </w:tc>
      </w:tr>
      <w:tr>
        <w:trPr/>
        <w:tc>
          <w:tcPr>
            <w:tcW w:w="210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40"/>
              <w:rPr/>
            </w:pPr>
            <w:r>
              <w:rPr>
                <w:rFonts w:eastAsia="Arial" w:cs="Arial"/>
                <w:b/>
                <w:bCs/>
                <w:color w:val="1F3864"/>
                <w:sz w:val="20"/>
                <w:szCs w:val="20"/>
              </w:rPr>
              <w:t>EMIT</w:t>
            </w:r>
          </w:p>
          <w:p>
            <w:pPr>
              <w:pStyle w:val="Normal"/>
              <w:spacing w:before="0" w:after="0"/>
              <w:rPr/>
            </w:pPr>
            <w:r>
              <w:rPr>
                <w:rFonts w:eastAsia="Arial" w:cs="Arial"/>
                <w:color w:val="555555"/>
                <w:sz w:val="18"/>
                <w:szCs w:val="18"/>
              </w:rPr>
              <w:t>NASA / ISS</w:t>
            </w:r>
          </w:p>
        </w:tc>
        <w:tc>
          <w:tcPr>
            <w:tcW w:w="99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Gratis</w:t>
            </w:r>
          </w:p>
        </w:tc>
        <w:tc>
          <w:tcPr>
            <w:tcW w:w="1101"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~60 meter</w:t>
            </w:r>
          </w:p>
        </w:tc>
        <w:tc>
          <w:tcPr>
            <w:tcW w:w="1337"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Terbatas (ikut orbit ISS)</w:t>
            </w:r>
          </w:p>
        </w:tc>
        <w:tc>
          <w:tcPr>
            <w:tcW w:w="4101"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60"/>
              <w:rPr/>
            </w:pPr>
            <w:r>
              <w:rPr>
                <w:rFonts w:eastAsia="Arial" w:cs="Arial"/>
                <w:b/>
                <w:bCs/>
                <w:color w:val="2E75B6"/>
                <w:sz w:val="20"/>
                <w:szCs w:val="20"/>
              </w:rPr>
              <w:t>Supplementary — Validasi Resolusi Tinggi</w:t>
            </w:r>
          </w:p>
          <w:p>
            <w:pPr>
              <w:pStyle w:val="Normal"/>
              <w:spacing w:before="0" w:after="0"/>
              <w:rPr/>
            </w:pPr>
            <w:r>
              <w:rPr>
                <w:rFonts w:eastAsia="Arial" w:cs="Arial"/>
                <w:sz w:val="19"/>
                <w:szCs w:val="19"/>
              </w:rPr>
              <w:t>Resolusi lebih baik dari TROPOMI namun coverage tidak predictable. Digunakan untuk validasi ketika data tersedia di area target.</w:t>
            </w:r>
          </w:p>
        </w:tc>
      </w:tr>
      <w:tr>
        <w:trPr/>
        <w:tc>
          <w:tcPr>
            <w:tcW w:w="2100"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40"/>
              <w:rPr/>
            </w:pPr>
            <w:r>
              <w:rPr>
                <w:rFonts w:eastAsia="Arial" w:cs="Arial"/>
                <w:b/>
                <w:bCs/>
                <w:color w:val="9C0006"/>
                <w:sz w:val="20"/>
                <w:szCs w:val="20"/>
              </w:rPr>
              <w:t>MethaneSAT</w:t>
            </w:r>
          </w:p>
          <w:p>
            <w:pPr>
              <w:pStyle w:val="Normal"/>
              <w:spacing w:before="0" w:after="0"/>
              <w:rPr/>
            </w:pPr>
            <w:r>
              <w:rPr>
                <w:rFonts w:eastAsia="Arial" w:cs="Arial"/>
                <w:color w:val="555555"/>
                <w:sz w:val="18"/>
                <w:szCs w:val="18"/>
              </w:rPr>
              <w:t>EDF (Environmental Defense Fund)</w:t>
            </w:r>
          </w:p>
        </w:tc>
        <w:tc>
          <w:tcPr>
            <w:tcW w:w="999"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val="false"/>
                <w:bCs w:val="false"/>
                <w:color w:val="000000"/>
                <w:sz w:val="20"/>
                <w:szCs w:val="20"/>
              </w:rPr>
              <w:t>—</w:t>
            </w:r>
          </w:p>
        </w:tc>
        <w:tc>
          <w:tcPr>
            <w:tcW w:w="1101"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val="false"/>
                <w:bCs w:val="false"/>
                <w:color w:val="000000"/>
                <w:sz w:val="20"/>
                <w:szCs w:val="20"/>
              </w:rPr>
              <w:t>100–400 m</w:t>
            </w:r>
          </w:p>
        </w:tc>
        <w:tc>
          <w:tcPr>
            <w:tcW w:w="1337"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val="false"/>
                <w:bCs w:val="false"/>
                <w:color w:val="000000"/>
                <w:sz w:val="20"/>
                <w:szCs w:val="20"/>
              </w:rPr>
              <w:t>Tidak ada data baru</w:t>
            </w:r>
          </w:p>
        </w:tc>
        <w:tc>
          <w:tcPr>
            <w:tcW w:w="4101"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60"/>
              <w:rPr/>
            </w:pPr>
            <w:r>
              <w:rPr>
                <w:rFonts w:eastAsia="Arial" w:cs="Arial"/>
                <w:b/>
                <w:bCs/>
                <w:color w:val="9C0006"/>
                <w:sz w:val="20"/>
                <w:szCs w:val="20"/>
              </w:rPr>
              <w:t>TIDAK BEROPERASI — Tidak Digunakan</w:t>
            </w:r>
          </w:p>
          <w:p>
            <w:pPr>
              <w:pStyle w:val="Normal"/>
              <w:spacing w:before="0" w:after="0"/>
              <w:rPr/>
            </w:pPr>
            <w:r>
              <w:rPr>
                <w:rFonts w:eastAsia="Arial" w:cs="Arial"/>
                <w:sz w:val="19"/>
                <w:szCs w:val="19"/>
              </w:rPr>
              <w:t>Kehilangan kontak dengan satelit pada Juli 2025 dan tidak dapat dipulihkan. Data historis (Mei 2024 – Juni 2025) masih tersedia di Google Earth Engine, namun tidak ada data baru yang akan dihasilkan.</w:t>
            </w:r>
          </w:p>
        </w:tc>
      </w:tr>
      <w:tr>
        <w:trPr/>
        <w:tc>
          <w:tcPr>
            <w:tcW w:w="2100"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40"/>
              <w:rPr/>
            </w:pPr>
            <w:r>
              <w:rPr>
                <w:rFonts w:eastAsia="Arial" w:cs="Arial"/>
                <w:b/>
                <w:bCs/>
                <w:color w:val="1F3864"/>
                <w:sz w:val="20"/>
                <w:szCs w:val="20"/>
              </w:rPr>
              <w:t>GHGSat</w:t>
            </w:r>
          </w:p>
          <w:p>
            <w:pPr>
              <w:pStyle w:val="Normal"/>
              <w:spacing w:before="0" w:after="0"/>
              <w:rPr/>
            </w:pPr>
            <w:r>
              <w:rPr>
                <w:rFonts w:eastAsia="Arial" w:cs="Arial"/>
                <w:color w:val="555555"/>
                <w:sz w:val="18"/>
                <w:szCs w:val="18"/>
              </w:rPr>
              <w:t>GHGSat Inc., Kanada</w:t>
            </w:r>
          </w:p>
        </w:tc>
        <w:tc>
          <w:tcPr>
            <w:tcW w:w="999"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val="false"/>
                <w:bCs w:val="false"/>
                <w:color w:val="000000"/>
                <w:sz w:val="20"/>
                <w:szCs w:val="20"/>
              </w:rPr>
              <w:t>Berbayar</w:t>
            </w:r>
          </w:p>
        </w:tc>
        <w:tc>
          <w:tcPr>
            <w:tcW w:w="1101"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val="false"/>
                <w:bCs w:val="false"/>
                <w:color w:val="000000"/>
                <w:sz w:val="20"/>
                <w:szCs w:val="20"/>
              </w:rPr>
              <w:t>~25 meter</w:t>
            </w:r>
          </w:p>
        </w:tc>
        <w:tc>
          <w:tcPr>
            <w:tcW w:w="1337"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val="false"/>
                <w:bCs w:val="false"/>
                <w:color w:val="000000"/>
                <w:sz w:val="20"/>
                <w:szCs w:val="20"/>
              </w:rPr>
              <w:t>On-demand komersial</w:t>
            </w:r>
          </w:p>
        </w:tc>
        <w:tc>
          <w:tcPr>
            <w:tcW w:w="4101"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60"/>
              <w:rPr/>
            </w:pPr>
            <w:r>
              <w:rPr>
                <w:rFonts w:eastAsia="Arial" w:cs="Arial"/>
                <w:b/>
                <w:bCs/>
                <w:color w:val="555555"/>
                <w:sz w:val="20"/>
                <w:szCs w:val="20"/>
              </w:rPr>
              <w:t>Komersial — Fase Lanjutan</w:t>
            </w:r>
          </w:p>
          <w:p>
            <w:pPr>
              <w:pStyle w:val="Normal"/>
              <w:spacing w:before="0" w:after="0"/>
              <w:rPr/>
            </w:pPr>
            <w:r>
              <w:rPr>
                <w:rFonts w:eastAsia="Arial" w:cs="Arial"/>
                <w:sz w:val="19"/>
                <w:szCs w:val="19"/>
              </w:rPr>
              <w:t>Resolusi tertinggi untuk deteksi level fasilitas. Memerlukan kontrak komersial. Dapat dievaluasi pada fase pengembangan lanjutan jika diperlukan resolusi facility-level.</w:t>
            </w:r>
          </w:p>
        </w:tc>
      </w:tr>
    </w:tbl>
    <w:p>
      <w:pPr>
        <w:pStyle w:val="Normal"/>
        <w:spacing w:before="0" w:after="80"/>
        <w:rPr/>
      </w:pPr>
      <w:r>
        <w:rPr/>
      </w:r>
    </w:p>
    <w:p>
      <w:pPr>
        <w:pStyle w:val="Normal"/>
        <w:spacing w:before="0" w:after="160"/>
        <w:rPr/>
      </w:pPr>
      <w:r>
        <w:rPr>
          <w:rFonts w:eastAsia="Arial" w:cs="Arial"/>
          <w:sz w:val="22"/>
          <w:szCs w:val="22"/>
        </w:rPr>
        <w:t>*Tanager-1: gratis untuk penggunaan non-komersial via Carbon Mapper data portal, memerlukan registrasi.</w:t>
      </w:r>
    </w:p>
    <w:p>
      <w:pPr>
        <w:pStyle w:val="Normal"/>
        <w:spacing w:before="0" w:after="160"/>
        <w:rPr/>
      </w:pPr>
      <w:r>
        <w:rPr/>
      </w:r>
    </w:p>
    <w:p>
      <w:pPr>
        <w:pStyle w:val="Heading2"/>
        <w:spacing w:before="280" w:after="120"/>
        <w:rPr/>
      </w:pPr>
      <w:r>
        <w:rPr>
          <w:rFonts w:eastAsia="Arial" w:cs="Arial" w:ascii="Arial" w:hAnsi="Arial"/>
          <w:b/>
          <w:bCs/>
          <w:color w:val="1F3864"/>
          <w:sz w:val="24"/>
          <w:szCs w:val="24"/>
        </w:rPr>
        <w:t>5.2 Satelit Pemantauan Cuaca</w:t>
      </w:r>
    </w:p>
    <w:tbl>
      <w:tblPr>
        <w:tblW w:w="9638" w:type="dxa"/>
        <w:jc w:val="start"/>
        <w:tblInd w:w="0" w:type="dxa"/>
        <w:tblLayout w:type="fixed"/>
        <w:tblCellMar>
          <w:top w:w="100" w:type="dxa"/>
          <w:start w:w="140" w:type="dxa"/>
          <w:bottom w:w="100" w:type="dxa"/>
          <w:end w:w="140" w:type="dxa"/>
        </w:tblCellMar>
      </w:tblPr>
      <w:tblGrid>
        <w:gridCol w:w="2100"/>
        <w:gridCol w:w="999"/>
        <w:gridCol w:w="1101"/>
        <w:gridCol w:w="1337"/>
        <w:gridCol w:w="4101"/>
      </w:tblGrid>
      <w:tr>
        <w:trPr>
          <w:tblHeader w:val="true"/>
        </w:trPr>
        <w:tc>
          <w:tcPr>
            <w:tcW w:w="210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Satelit</w:t>
            </w:r>
          </w:p>
        </w:tc>
        <w:tc>
          <w:tcPr>
            <w:tcW w:w="99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Biaya</w:t>
            </w:r>
          </w:p>
        </w:tc>
        <w:tc>
          <w:tcPr>
            <w:tcW w:w="1101"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Coverage</w:t>
            </w:r>
          </w:p>
        </w:tc>
        <w:tc>
          <w:tcPr>
            <w:tcW w:w="1337"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Frekuensi</w:t>
            </w:r>
          </w:p>
        </w:tc>
        <w:tc>
          <w:tcPr>
            <w:tcW w:w="4101"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Status &amp; Rekomendasi CRI</w:t>
            </w:r>
          </w:p>
        </w:tc>
      </w:tr>
      <w:tr>
        <w:trPr/>
        <w:tc>
          <w:tcPr>
            <w:tcW w:w="2100"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40"/>
              <w:rPr/>
            </w:pPr>
            <w:r>
              <w:rPr>
                <w:rFonts w:eastAsia="Arial" w:cs="Arial"/>
                <w:b/>
                <w:bCs/>
                <w:color w:val="1F3864"/>
                <w:sz w:val="20"/>
                <w:szCs w:val="20"/>
              </w:rPr>
              <w:t>Himawari-9</w:t>
            </w:r>
          </w:p>
          <w:p>
            <w:pPr>
              <w:pStyle w:val="Normal"/>
              <w:spacing w:before="0" w:after="0"/>
              <w:rPr/>
            </w:pPr>
            <w:r>
              <w:rPr>
                <w:rFonts w:eastAsia="Arial" w:cs="Arial"/>
                <w:color w:val="555555"/>
                <w:sz w:val="18"/>
                <w:szCs w:val="18"/>
              </w:rPr>
              <w:t>JMA, Jepang</w:t>
            </w:r>
          </w:p>
        </w:tc>
        <w:tc>
          <w:tcPr>
            <w:tcW w:w="999"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Gratis</w:t>
            </w:r>
          </w:p>
        </w:tc>
        <w:tc>
          <w:tcPr>
            <w:tcW w:w="1101"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Asia-Pasifik</w:t>
            </w:r>
          </w:p>
        </w:tc>
        <w:tc>
          <w:tcPr>
            <w:tcW w:w="1337"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Setiap 10 menit</w:t>
            </w:r>
          </w:p>
        </w:tc>
        <w:tc>
          <w:tcPr>
            <w:tcW w:w="4101"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60"/>
              <w:rPr/>
            </w:pPr>
            <w:r>
              <w:rPr>
                <w:rFonts w:eastAsia="Arial" w:cs="Arial"/>
                <w:b/>
                <w:bCs/>
                <w:color w:val="375623"/>
                <w:sz w:val="20"/>
                <w:szCs w:val="20"/>
              </w:rPr>
              <w:t>PRIMER Cuaca — Digunakan di MVP</w:t>
            </w:r>
          </w:p>
          <w:p>
            <w:pPr>
              <w:pStyle w:val="Normal"/>
              <w:spacing w:before="0" w:after="0"/>
              <w:rPr/>
            </w:pPr>
            <w:r>
              <w:rPr>
                <w:rFonts w:eastAsia="Arial" w:cs="Arial"/>
                <w:sz w:val="19"/>
                <w:szCs w:val="19"/>
              </w:rPr>
              <w:t>Satelit geostasioner — posisi diam di atas ekuator, always-on coverage seluruh Indonesia. Tersedia via AWS S3 public bucket. Standar nowcasting cuaca Asia-Pasifik.</w:t>
            </w:r>
          </w:p>
        </w:tc>
      </w:tr>
    </w:tbl>
    <w:p>
      <w:pPr>
        <w:pStyle w:val="Normal"/>
        <w:spacing w:before="0" w:after="160"/>
        <w:rPr/>
      </w:pPr>
      <w:r>
        <w:rPr/>
      </w:r>
    </w:p>
    <w:p>
      <w:pPr>
        <w:pStyle w:val="Heading2"/>
        <w:spacing w:before="280" w:after="120"/>
        <w:rPr/>
      </w:pPr>
      <w:r>
        <w:rPr>
          <w:rFonts w:eastAsia="Arial" w:cs="Arial" w:ascii="Arial" w:hAnsi="Arial"/>
          <w:b/>
          <w:bCs/>
          <w:color w:val="1F3864"/>
          <w:sz w:val="24"/>
          <w:szCs w:val="24"/>
        </w:rPr>
        <w:t>5.3 Strategi Multi-Satelit Berlapis</w:t>
      </w:r>
    </w:p>
    <w:tbl>
      <w:tblPr>
        <w:tblW w:w="9638" w:type="dxa"/>
        <w:jc w:val="start"/>
        <w:tblInd w:w="0" w:type="dxa"/>
        <w:tblLayout w:type="fixed"/>
        <w:tblCellMar>
          <w:top w:w="100" w:type="dxa"/>
          <w:start w:w="140" w:type="dxa"/>
          <w:bottom w:w="100" w:type="dxa"/>
          <w:end w:w="140" w:type="dxa"/>
        </w:tblCellMar>
      </w:tblPr>
      <w:tblGrid>
        <w:gridCol w:w="1400"/>
        <w:gridCol w:w="3838"/>
        <w:gridCol w:w="4400"/>
      </w:tblGrid>
      <w:tr>
        <w:trPr>
          <w:tblHeader w:val="true"/>
        </w:trPr>
        <w:tc>
          <w:tcPr>
            <w:tcW w:w="140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Fase</w:t>
            </w:r>
          </w:p>
        </w:tc>
        <w:tc>
          <w:tcPr>
            <w:tcW w:w="3838"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Satelit yang Digunakan</w:t>
            </w:r>
          </w:p>
        </w:tc>
        <w:tc>
          <w:tcPr>
            <w:tcW w:w="440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Rasional</w:t>
            </w:r>
          </w:p>
        </w:tc>
      </w:tr>
      <w:tr>
        <w:trPr/>
        <w:tc>
          <w:tcPr>
            <w:tcW w:w="1400"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bCs/>
                <w:color w:val="000000"/>
                <w:sz w:val="20"/>
                <w:szCs w:val="20"/>
              </w:rPr>
              <w:t>MVP (Fase 1)</w:t>
            </w:r>
          </w:p>
        </w:tc>
        <w:tc>
          <w:tcPr>
            <w:tcW w:w="3838"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TROPOMI (primer CH4) + Himawari-9 (primer cuaca)</w:t>
            </w:r>
          </w:p>
        </w:tc>
        <w:tc>
          <w:tcPr>
            <w:tcW w:w="4400"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Gratis, reliable, API terdokumentasi, data historis tersedia. Deploy segera.</w:t>
            </w:r>
          </w:p>
        </w:tc>
      </w:tr>
      <w:tr>
        <w:trPr/>
        <w:tc>
          <w:tcPr>
            <w:tcW w:w="140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Fase 2</w:t>
            </w:r>
          </w:p>
        </w:tc>
        <w:tc>
          <w:tcPr>
            <w:tcW w:w="3838"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 EMIT sebagai validasi resolusi lebih tinggi</w:t>
            </w:r>
          </w:p>
        </w:tc>
        <w:tc>
          <w:tcPr>
            <w:tcW w:w="440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Validasi anomali TROPOMI dengan resolusi 60m ketika data EMIT tersedia.</w:t>
            </w:r>
          </w:p>
        </w:tc>
      </w:tr>
      <w:tr>
        <w:trPr/>
        <w:tc>
          <w:tcPr>
            <w:tcW w:w="1400"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bCs/>
                <w:color w:val="000000"/>
                <w:sz w:val="20"/>
                <w:szCs w:val="20"/>
              </w:rPr>
              <w:t>Fase 3</w:t>
            </w:r>
          </w:p>
        </w:tc>
        <w:tc>
          <w:tcPr>
            <w:tcW w:w="3838"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 Tanager-1 via Carbon Mapper sebagai referensi</w:t>
            </w:r>
          </w:p>
        </w:tc>
        <w:tc>
          <w:tcPr>
            <w:tcW w:w="4400"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Data super-emitter 30m untuk analisis mendalam area prioritas.</w:t>
            </w:r>
          </w:p>
        </w:tc>
      </w:tr>
      <w:tr>
        <w:trPr/>
        <w:tc>
          <w:tcPr>
            <w:tcW w:w="1400"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bCs/>
                <w:color w:val="000000"/>
                <w:sz w:val="20"/>
                <w:szCs w:val="20"/>
              </w:rPr>
              <w:t>Opsional</w:t>
            </w:r>
          </w:p>
        </w:tc>
        <w:tc>
          <w:tcPr>
            <w:tcW w:w="3838"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val="false"/>
                <w:bCs w:val="false"/>
                <w:color w:val="000000"/>
                <w:sz w:val="20"/>
                <w:szCs w:val="20"/>
              </w:rPr>
              <w:t>GHGSat untuk resolusi facility-level</w:t>
            </w:r>
          </w:p>
        </w:tc>
        <w:tc>
          <w:tcPr>
            <w:tcW w:w="4400"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val="false"/>
                <w:bCs w:val="false"/>
                <w:color w:val="000000"/>
                <w:sz w:val="20"/>
                <w:szCs w:val="20"/>
              </w:rPr>
              <w:t>Jika klien memerlukan identifikasi kebocoran hingga level peralatan spesifik. Memerlukan anggaran data komersial.</w:t>
            </w:r>
          </w:p>
        </w:tc>
      </w:tr>
    </w:tbl>
    <w:p>
      <w:pPr>
        <w:pStyle w:val="Normal"/>
        <w:spacing w:before="0" w:after="0"/>
        <w:rPr/>
      </w:pPr>
      <w:r>
        <w:rPr/>
      </w:r>
      <w:r>
        <w:br w:type="page"/>
      </w:r>
    </w:p>
    <w:p>
      <w:pPr>
        <w:pStyle w:val="Heading1"/>
        <w:pBdr>
          <w:bottom w:val="single" w:sz="8" w:space="2" w:color="2E75B6"/>
        </w:pBdr>
        <w:spacing w:before="0" w:after="200"/>
        <w:rPr/>
      </w:pPr>
      <w:r>
        <w:rPr>
          <w:rFonts w:eastAsia="Arial" w:cs="Arial" w:ascii="Arial" w:hAnsi="Arial"/>
          <w:b/>
          <w:bCs/>
          <w:color w:val="1F3864"/>
          <w:sz w:val="30"/>
          <w:szCs w:val="30"/>
        </w:rPr>
        <w:t>6. Nilai Bisnis &amp; Justifikasi Investasi</w:t>
      </w:r>
    </w:p>
    <w:p>
      <w:pPr>
        <w:pStyle w:val="Heading2"/>
        <w:spacing w:before="280" w:after="120"/>
        <w:rPr/>
      </w:pPr>
      <w:r>
        <w:rPr>
          <w:rFonts w:eastAsia="Arial" w:cs="Arial" w:ascii="Arial" w:hAnsi="Arial"/>
          <w:b/>
          <w:bCs/>
          <w:color w:val="1F3864"/>
          <w:sz w:val="24"/>
          <w:szCs w:val="24"/>
        </w:rPr>
        <w:t>6.1 Framework Kalkulasi ROI</w:t>
      </w:r>
    </w:p>
    <w:p>
      <w:pPr>
        <w:pStyle w:val="Normal"/>
        <w:spacing w:before="0" w:after="160"/>
        <w:rPr/>
      </w:pPr>
      <w:r>
        <w:rPr>
          <w:rFonts w:eastAsia="Arial" w:cs="Arial"/>
          <w:sz w:val="22"/>
          <w:szCs w:val="22"/>
        </w:rPr>
        <w:t>Nilai investasi sistem EWS ini paling tepat dievaluasi menggunakan framework Cost of Prevention vs. Cost of Incident:</w:t>
      </w:r>
    </w:p>
    <w:p>
      <w:pPr>
        <w:pStyle w:val="Normal"/>
        <w:spacing w:before="0" w:after="80"/>
        <w:rPr/>
      </w:pPr>
      <w:r>
        <w:rPr/>
      </w:r>
    </w:p>
    <w:tbl>
      <w:tblPr>
        <w:tblW w:w="9638" w:type="dxa"/>
        <w:jc w:val="start"/>
        <w:tblInd w:w="0" w:type="dxa"/>
        <w:tblLayout w:type="fixed"/>
        <w:tblCellMar>
          <w:top w:w="100" w:type="dxa"/>
          <w:start w:w="140" w:type="dxa"/>
          <w:bottom w:w="100" w:type="dxa"/>
          <w:end w:w="140" w:type="dxa"/>
        </w:tblCellMar>
      </w:tblPr>
      <w:tblGrid>
        <w:gridCol w:w="4819"/>
        <w:gridCol w:w="4819"/>
      </w:tblGrid>
      <w:tr>
        <w:trPr>
          <w:tblHeader w:val="true"/>
        </w:trPr>
        <w:tc>
          <w:tcPr>
            <w:tcW w:w="481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Cost of Incident (risiko yang dimitigasi)</w:t>
            </w:r>
          </w:p>
        </w:tc>
        <w:tc>
          <w:tcPr>
            <w:tcW w:w="481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Cost of Prevention (investasi sistem)</w:t>
            </w:r>
          </w:p>
        </w:tc>
      </w:tr>
      <w:tr>
        <w:trPr/>
        <w:tc>
          <w:tcPr>
            <w:tcW w:w="4819"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val="false"/>
                <w:bCs w:val="false"/>
                <w:color w:val="000000"/>
                <w:sz w:val="20"/>
                <w:szCs w:val="20"/>
              </w:rPr>
              <w:t>Kerugian material insiden kebakaran kilang: Rp 50–500 miliar+</w:t>
            </w:r>
          </w:p>
        </w:tc>
        <w:tc>
          <w:tcPr>
            <w:tcW w:w="4819"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Biaya development platform EWS (one-time)</w:t>
            </w:r>
          </w:p>
        </w:tc>
      </w:tr>
      <w:tr>
        <w:trPr/>
        <w:tc>
          <w:tcPr>
            <w:tcW w:w="4819"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val="false"/>
                <w:bCs w:val="false"/>
                <w:color w:val="000000"/>
                <w:sz w:val="20"/>
                <w:szCs w:val="20"/>
              </w:rPr>
              <w:t>Korban jiwa &amp; kompensasi: tidak ternilai</w:t>
            </w:r>
          </w:p>
        </w:tc>
        <w:tc>
          <w:tcPr>
            <w:tcW w:w="4819"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Biaya operasional sistem per bulan (managed service)</w:t>
            </w:r>
          </w:p>
        </w:tc>
      </w:tr>
      <w:tr>
        <w:trPr/>
        <w:tc>
          <w:tcPr>
            <w:tcW w:w="4819"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val="false"/>
                <w:bCs w:val="false"/>
                <w:color w:val="000000"/>
                <w:sz w:val="20"/>
                <w:szCs w:val="20"/>
              </w:rPr>
              <w:t>Denda regulasi SKK Migas / KLHK atas insiden lingkungan</w:t>
            </w:r>
          </w:p>
        </w:tc>
        <w:tc>
          <w:tcPr>
            <w:tcW w:w="4819"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Zero biaya hardware sensor tambahan di lapangan</w:t>
            </w:r>
          </w:p>
        </w:tc>
      </w:tr>
      <w:tr>
        <w:trPr/>
        <w:tc>
          <w:tcPr>
            <w:tcW w:w="4819"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val="false"/>
                <w:bCs w:val="false"/>
                <w:color w:val="000000"/>
                <w:sz w:val="20"/>
                <w:szCs w:val="20"/>
              </w:rPr>
              <w:t>Kerugian reputasi &amp; penghentian operasi (business continuity)</w:t>
            </w:r>
          </w:p>
        </w:tc>
        <w:tc>
          <w:tcPr>
            <w:tcW w:w="4819"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Satu deteksi dini yang berhasil mencegah insiden = ROI positif</w:t>
            </w:r>
          </w:p>
        </w:tc>
      </w:tr>
    </w:tbl>
    <w:p>
      <w:pPr>
        <w:pStyle w:val="Normal"/>
        <w:spacing w:before="0" w:after="160"/>
        <w:rPr/>
      </w:pPr>
      <w:r>
        <w:rPr/>
      </w:r>
    </w:p>
    <w:p>
      <w:pPr>
        <w:pStyle w:val="Heading2"/>
        <w:spacing w:before="280" w:after="120"/>
        <w:rPr/>
      </w:pPr>
      <w:r>
        <w:rPr>
          <w:rFonts w:eastAsia="Arial" w:cs="Arial" w:ascii="Arial" w:hAnsi="Arial"/>
          <w:b/>
          <w:bCs/>
          <w:color w:val="1F3864"/>
          <w:sz w:val="24"/>
          <w:szCs w:val="24"/>
        </w:rPr>
        <w:t>6.2 Nilai Strategis: Compliance &amp; Regulatory</w:t>
      </w:r>
    </w:p>
    <w:p>
      <w:pPr>
        <w:pStyle w:val="ListParagraph"/>
        <w:numPr>
          <w:ilvl w:val="0"/>
          <w:numId w:val="1"/>
        </w:numPr>
        <w:spacing w:before="0" w:after="80"/>
        <w:rPr/>
      </w:pPr>
      <w:r>
        <w:rPr>
          <w:rFonts w:eastAsia="Arial" w:cs="Arial"/>
          <w:sz w:val="22"/>
          <w:szCs w:val="22"/>
        </w:rPr>
        <w:t>Tekanan regulasi global (Paris Agreement, net-zero commitment) mendorong kewajiban monitoring dan pelaporan emisi metana yang makin ketat bagi operator migas di Indonesia.</w:t>
      </w:r>
    </w:p>
    <w:p>
      <w:pPr>
        <w:pStyle w:val="ListParagraph"/>
        <w:numPr>
          <w:ilvl w:val="0"/>
          <w:numId w:val="1"/>
        </w:numPr>
        <w:spacing w:before="0" w:after="80"/>
        <w:rPr/>
      </w:pPr>
      <w:r>
        <w:rPr>
          <w:rFonts w:eastAsia="Arial" w:cs="Arial"/>
          <w:sz w:val="22"/>
          <w:szCs w:val="22"/>
        </w:rPr>
        <w:t>Data historis anomali XCH4 dari sistem ini dapat langsung digunakan sebagai bahan laporan emisi yang dipersyaratkan SKK Migas dan KLHK.</w:t>
      </w:r>
    </w:p>
    <w:p>
      <w:pPr>
        <w:pStyle w:val="ListParagraph"/>
        <w:numPr>
          <w:ilvl w:val="0"/>
          <w:numId w:val="1"/>
        </w:numPr>
        <w:spacing w:before="0" w:after="80"/>
        <w:rPr/>
      </w:pPr>
      <w:r>
        <w:rPr>
          <w:rFonts w:eastAsia="Arial" w:cs="Arial"/>
          <w:sz w:val="22"/>
          <w:szCs w:val="22"/>
        </w:rPr>
        <w:t>Audit trail otomatis mengurangi beban penyusunan laporan compliance secara manual.</w:t>
      </w:r>
    </w:p>
    <w:p>
      <w:pPr>
        <w:pStyle w:val="ListParagraph"/>
        <w:numPr>
          <w:ilvl w:val="0"/>
          <w:numId w:val="1"/>
        </w:numPr>
        <w:spacing w:before="0" w:after="80"/>
        <w:rPr/>
      </w:pPr>
      <w:r>
        <w:rPr>
          <w:rFonts w:eastAsia="Arial" w:cs="Arial"/>
          <w:sz w:val="22"/>
          <w:szCs w:val="22"/>
        </w:rPr>
        <w:t>Data Sentinel-5P tersedia sejak 2018 — memungkinkan analisis tren emisi historis bahkan sebelum sistem berjalan secara live.</w:t>
      </w:r>
    </w:p>
    <w:p>
      <w:pPr>
        <w:pStyle w:val="Normal"/>
        <w:spacing w:before="0" w:after="120"/>
        <w:rPr/>
      </w:pPr>
      <w:r>
        <w:rPr/>
      </w:r>
    </w:p>
    <w:p>
      <w:pPr>
        <w:pStyle w:val="Heading2"/>
        <w:spacing w:before="280" w:after="120"/>
        <w:rPr/>
      </w:pPr>
      <w:r>
        <w:rPr>
          <w:rFonts w:eastAsia="Arial" w:cs="Arial" w:ascii="Arial" w:hAnsi="Arial"/>
          <w:b/>
          <w:bCs/>
          <w:color w:val="1F3864"/>
          <w:sz w:val="24"/>
          <w:szCs w:val="24"/>
        </w:rPr>
        <w:t>6.3 Skalabilitas sebagai Platform</w:t>
      </w:r>
    </w:p>
    <w:p>
      <w:pPr>
        <w:pStyle w:val="Normal"/>
        <w:spacing w:before="0" w:after="160"/>
        <w:rPr/>
      </w:pPr>
      <w:r>
        <w:rPr>
          <w:rFonts w:eastAsia="Arial" w:cs="Arial"/>
          <w:sz w:val="22"/>
          <w:szCs w:val="22"/>
        </w:rPr>
        <w:t>Arsitektur modular — penambahan site baru hanya memerlukan konfigurasi koordinat, bukan pembangunan ulang infrastruktur.</w:t>
      </w:r>
    </w:p>
    <w:p>
      <w:pPr>
        <w:pStyle w:val="Normal"/>
        <w:spacing w:before="0" w:after="80"/>
        <w:rPr/>
      </w:pPr>
      <w:r>
        <w:rPr/>
      </w:r>
    </w:p>
    <w:tbl>
      <w:tblPr>
        <w:tblW w:w="9638" w:type="dxa"/>
        <w:jc w:val="start"/>
        <w:tblInd w:w="0" w:type="dxa"/>
        <w:tblLayout w:type="fixed"/>
        <w:tblCellMar>
          <w:top w:w="100" w:type="dxa"/>
          <w:start w:w="140" w:type="dxa"/>
          <w:bottom w:w="100" w:type="dxa"/>
          <w:end w:w="140" w:type="dxa"/>
        </w:tblCellMar>
      </w:tblPr>
      <w:tblGrid>
        <w:gridCol w:w="1800"/>
        <w:gridCol w:w="3637"/>
        <w:gridCol w:w="4201"/>
      </w:tblGrid>
      <w:tr>
        <w:trPr>
          <w:tblHeader w:val="true"/>
        </w:trPr>
        <w:tc>
          <w:tcPr>
            <w:tcW w:w="180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Skala</w:t>
            </w:r>
          </w:p>
        </w:tc>
        <w:tc>
          <w:tcPr>
            <w:tcW w:w="3637"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Deskripsi</w:t>
            </w:r>
          </w:p>
        </w:tc>
        <w:tc>
          <w:tcPr>
            <w:tcW w:w="4201"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Model Bisnis Potensial</w:t>
            </w:r>
          </w:p>
        </w:tc>
      </w:tr>
      <w:tr>
        <w:trPr/>
        <w:tc>
          <w:tcPr>
            <w:tcW w:w="1800"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bCs/>
                <w:color w:val="000000"/>
                <w:sz w:val="20"/>
                <w:szCs w:val="20"/>
              </w:rPr>
              <w:t>Single Client</w:t>
            </w:r>
          </w:p>
        </w:tc>
        <w:tc>
          <w:tcPr>
            <w:tcW w:w="3637"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Satu perusahaan O&amp;G, beberapa aset dipantau</w:t>
            </w:r>
          </w:p>
        </w:tc>
        <w:tc>
          <w:tcPr>
            <w:tcW w:w="4201"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Project one-time + maintenance contract</w:t>
            </w:r>
          </w:p>
        </w:tc>
      </w:tr>
      <w:tr>
        <w:trPr/>
        <w:tc>
          <w:tcPr>
            <w:tcW w:w="180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Multi-Client</w:t>
            </w:r>
          </w:p>
        </w:tc>
        <w:tc>
          <w:tcPr>
            <w:tcW w:w="3637"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Beberapa perusahaan O&amp;G berbagi infrastruktur platform yang sama</w:t>
            </w:r>
          </w:p>
        </w:tc>
        <w:tc>
          <w:tcPr>
            <w:tcW w:w="4201"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SaaS / subscription per aset per bulan</w:t>
            </w:r>
          </w:p>
        </w:tc>
      </w:tr>
      <w:tr>
        <w:trPr/>
        <w:tc>
          <w:tcPr>
            <w:tcW w:w="1800"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bCs/>
                <w:color w:val="000000"/>
                <w:sz w:val="20"/>
                <w:szCs w:val="20"/>
              </w:rPr>
              <w:t>White-Label</w:t>
            </w:r>
          </w:p>
        </w:tc>
        <w:tc>
          <w:tcPr>
            <w:tcW w:w="3637"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Konsultan HSSE merebrand platform ke klien-kliennya</w:t>
            </w:r>
          </w:p>
        </w:tc>
        <w:tc>
          <w:tcPr>
            <w:tcW w:w="4201"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White-label licensing + revenue share</w:t>
            </w:r>
          </w:p>
        </w:tc>
      </w:tr>
    </w:tbl>
    <w:p>
      <w:pPr>
        <w:pStyle w:val="Normal"/>
        <w:spacing w:before="0" w:after="0"/>
        <w:rPr/>
      </w:pPr>
      <w:r>
        <w:rPr/>
      </w:r>
      <w:r>
        <w:br w:type="page"/>
      </w:r>
    </w:p>
    <w:p>
      <w:pPr>
        <w:pStyle w:val="Heading1"/>
        <w:pBdr>
          <w:bottom w:val="single" w:sz="8" w:space="2" w:color="2E75B6"/>
        </w:pBdr>
        <w:spacing w:before="0" w:after="200"/>
        <w:rPr/>
      </w:pPr>
      <w:r>
        <w:rPr>
          <w:rFonts w:eastAsia="Arial" w:cs="Arial" w:ascii="Arial" w:hAnsi="Arial"/>
          <w:b/>
          <w:bCs/>
          <w:color w:val="1F3864"/>
          <w:sz w:val="30"/>
          <w:szCs w:val="30"/>
        </w:rPr>
        <w:t>7. Metodologi Teknis</w:t>
      </w:r>
    </w:p>
    <w:p>
      <w:pPr>
        <w:pStyle w:val="Heading2"/>
        <w:spacing w:before="280" w:after="120"/>
        <w:rPr/>
      </w:pPr>
      <w:r>
        <w:rPr>
          <w:rFonts w:eastAsia="Arial" w:cs="Arial" w:ascii="Arial" w:hAnsi="Arial"/>
          <w:b/>
          <w:bCs/>
          <w:color w:val="1F3864"/>
          <w:sz w:val="24"/>
          <w:szCs w:val="24"/>
        </w:rPr>
        <w:t>7.1 Arsitektur Pipeline Data End-to-End</w:t>
      </w:r>
    </w:p>
    <w:p>
      <w:pPr>
        <w:pStyle w:val="Normal"/>
        <w:spacing w:before="0" w:after="160"/>
        <w:rPr/>
      </w:pPr>
      <w:r>
        <w:rPr>
          <w:rFonts w:eastAsia="Arial" w:cs="Arial"/>
          <w:sz w:val="22"/>
          <w:szCs w:val="22"/>
        </w:rPr>
        <w:t>Sistem beroperasi dalam lima lapisan yang berjalan secara terjadwal dan otomatis tanpa intervensi manual:</w:t>
      </w:r>
    </w:p>
    <w:p>
      <w:pPr>
        <w:pStyle w:val="Normal"/>
        <w:spacing w:before="0" w:after="80"/>
        <w:rPr/>
      </w:pPr>
      <w:r>
        <w:rPr/>
      </w:r>
    </w:p>
    <w:tbl>
      <w:tblPr>
        <w:tblW w:w="9638" w:type="dxa"/>
        <w:jc w:val="start"/>
        <w:tblInd w:w="0" w:type="dxa"/>
        <w:tblLayout w:type="fixed"/>
        <w:tblCellMar>
          <w:top w:w="100" w:type="dxa"/>
          <w:start w:w="140" w:type="dxa"/>
          <w:bottom w:w="100" w:type="dxa"/>
          <w:end w:w="140" w:type="dxa"/>
        </w:tblCellMar>
      </w:tblPr>
      <w:tblGrid>
        <w:gridCol w:w="399"/>
        <w:gridCol w:w="1801"/>
        <w:gridCol w:w="3838"/>
        <w:gridCol w:w="3600"/>
      </w:tblGrid>
      <w:tr>
        <w:trPr>
          <w:tblHeader w:val="true"/>
        </w:trPr>
        <w:tc>
          <w:tcPr>
            <w:tcW w:w="39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w:t>
            </w:r>
          </w:p>
        </w:tc>
        <w:tc>
          <w:tcPr>
            <w:tcW w:w="1801"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Layer</w:t>
            </w:r>
          </w:p>
        </w:tc>
        <w:tc>
          <w:tcPr>
            <w:tcW w:w="3838"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Proses</w:t>
            </w:r>
          </w:p>
        </w:tc>
        <w:tc>
          <w:tcPr>
            <w:tcW w:w="360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Teknologi</w:t>
            </w:r>
          </w:p>
        </w:tc>
      </w:tr>
      <w:tr>
        <w:trPr/>
        <w:tc>
          <w:tcPr>
            <w:tcW w:w="399" w:type="dxa"/>
            <w:tcBorders>
              <w:top w:val="single" w:sz="4" w:space="0" w:color="B8CCE4"/>
              <w:start w:val="single" w:sz="4" w:space="0" w:color="B8CCE4"/>
              <w:bottom w:val="single" w:sz="4" w:space="0" w:color="B8CCE4"/>
              <w:end w:val="single" w:sz="4" w:space="0" w:color="B8CCE4"/>
            </w:tcBorders>
            <w:shd w:fill="1F3864" w:val="clear"/>
          </w:tcPr>
          <w:p>
            <w:pPr>
              <w:pStyle w:val="Normal"/>
              <w:spacing w:before="0" w:after="0"/>
              <w:jc w:val="start"/>
              <w:rPr/>
            </w:pPr>
            <w:r>
              <w:rPr>
                <w:rFonts w:eastAsia="Arial" w:cs="Arial"/>
                <w:b w:val="false"/>
                <w:bCs w:val="false"/>
                <w:color w:val="FFFFFF"/>
                <w:sz w:val="20"/>
                <w:szCs w:val="20"/>
              </w:rPr>
              <w:t>1</w:t>
            </w:r>
          </w:p>
        </w:tc>
        <w:tc>
          <w:tcPr>
            <w:tcW w:w="1801"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bCs/>
                <w:color w:val="000000"/>
                <w:sz w:val="20"/>
                <w:szCs w:val="20"/>
              </w:rPr>
              <w:t>Ingestion</w:t>
            </w:r>
          </w:p>
        </w:tc>
        <w:tc>
          <w:tcPr>
            <w:tcW w:w="3838"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Scheduler otomatis mengunduh file TROPOMI (.nc) terbaru dari Copernicus Data Space dan frame Himawari-9 dari AWS S3. File mentah disimpan ke object storage.</w:t>
            </w:r>
          </w:p>
        </w:tc>
        <w:tc>
          <w:tcPr>
            <w:tcW w:w="3600"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Python, Celery, sentinelsat, boto3, MinIO</w:t>
            </w:r>
          </w:p>
        </w:tc>
      </w:tr>
      <w:tr>
        <w:trPr/>
        <w:tc>
          <w:tcPr>
            <w:tcW w:w="399" w:type="dxa"/>
            <w:tcBorders>
              <w:top w:val="single" w:sz="4" w:space="0" w:color="B8CCE4"/>
              <w:start w:val="single" w:sz="4" w:space="0" w:color="B8CCE4"/>
              <w:bottom w:val="single" w:sz="4" w:space="0" w:color="B8CCE4"/>
              <w:end w:val="single" w:sz="4" w:space="0" w:color="B8CCE4"/>
            </w:tcBorders>
            <w:shd w:fill="1F3864" w:val="clear"/>
          </w:tcPr>
          <w:p>
            <w:pPr>
              <w:pStyle w:val="Normal"/>
              <w:spacing w:before="0" w:after="0"/>
              <w:jc w:val="start"/>
              <w:rPr/>
            </w:pPr>
            <w:r>
              <w:rPr>
                <w:rFonts w:eastAsia="Arial" w:cs="Arial"/>
                <w:b w:val="false"/>
                <w:bCs w:val="false"/>
                <w:color w:val="FFFFFF"/>
                <w:sz w:val="20"/>
                <w:szCs w:val="20"/>
              </w:rPr>
              <w:t>2</w:t>
            </w:r>
          </w:p>
        </w:tc>
        <w:tc>
          <w:tcPr>
            <w:tcW w:w="1801"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Pre-processing</w:t>
            </w:r>
          </w:p>
        </w:tc>
        <w:tc>
          <w:tcPr>
            <w:tcW w:w="3838"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Filter kualitas piksel (qa_value &gt;= 0.5). Crop ke koordinat AOI. Ekstrak XCH4 per piksel. Konversi proyeksi Himawari ke WGS84 lat/lon.</w:t>
            </w:r>
          </w:p>
        </w:tc>
        <w:tc>
          <w:tcPr>
            <w:tcW w:w="360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rasterio, xarray, GDAL, pyproj, netCDF4</w:t>
            </w:r>
          </w:p>
        </w:tc>
      </w:tr>
      <w:tr>
        <w:trPr/>
        <w:tc>
          <w:tcPr>
            <w:tcW w:w="399" w:type="dxa"/>
            <w:tcBorders>
              <w:top w:val="single" w:sz="4" w:space="0" w:color="B8CCE4"/>
              <w:start w:val="single" w:sz="4" w:space="0" w:color="B8CCE4"/>
              <w:bottom w:val="single" w:sz="4" w:space="0" w:color="B8CCE4"/>
              <w:end w:val="single" w:sz="4" w:space="0" w:color="B8CCE4"/>
            </w:tcBorders>
            <w:shd w:fill="1F3864" w:val="clear"/>
          </w:tcPr>
          <w:p>
            <w:pPr>
              <w:pStyle w:val="Normal"/>
              <w:spacing w:before="0" w:after="0"/>
              <w:jc w:val="start"/>
              <w:rPr/>
            </w:pPr>
            <w:r>
              <w:rPr>
                <w:rFonts w:eastAsia="Arial" w:cs="Arial"/>
                <w:b w:val="false"/>
                <w:bCs w:val="false"/>
                <w:color w:val="FFFFFF"/>
                <w:sz w:val="20"/>
                <w:szCs w:val="20"/>
              </w:rPr>
              <w:t>3</w:t>
            </w:r>
          </w:p>
        </w:tc>
        <w:tc>
          <w:tcPr>
            <w:tcW w:w="1801"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bCs/>
                <w:color w:val="000000"/>
                <w:sz w:val="20"/>
                <w:szCs w:val="20"/>
              </w:rPr>
              <w:t>AI Processing</w:t>
            </w:r>
          </w:p>
        </w:tc>
        <w:tc>
          <w:tcPr>
            <w:tcW w:w="3838"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Anomaly detection: bandingkan XCH4 vs. baseline historis 60 hari per piksel. Weather engine: hitung optical flow antar frame, proyeksikan lintasan 6/12/24 jam.</w:t>
            </w:r>
          </w:p>
        </w:tc>
        <w:tc>
          <w:tcPr>
            <w:tcW w:w="3600"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NumPy, SciPy, scikit-learn, OpenCV / PySTEPS</w:t>
            </w:r>
          </w:p>
        </w:tc>
      </w:tr>
      <w:tr>
        <w:trPr/>
        <w:tc>
          <w:tcPr>
            <w:tcW w:w="399" w:type="dxa"/>
            <w:tcBorders>
              <w:top w:val="single" w:sz="4" w:space="0" w:color="B8CCE4"/>
              <w:start w:val="single" w:sz="4" w:space="0" w:color="B8CCE4"/>
              <w:bottom w:val="single" w:sz="4" w:space="0" w:color="B8CCE4"/>
              <w:end w:val="single" w:sz="4" w:space="0" w:color="B8CCE4"/>
            </w:tcBorders>
            <w:shd w:fill="1F3864" w:val="clear"/>
          </w:tcPr>
          <w:p>
            <w:pPr>
              <w:pStyle w:val="Normal"/>
              <w:spacing w:before="0" w:after="0"/>
              <w:jc w:val="start"/>
              <w:rPr/>
            </w:pPr>
            <w:r>
              <w:rPr>
                <w:rFonts w:eastAsia="Arial" w:cs="Arial"/>
                <w:b w:val="false"/>
                <w:bCs w:val="false"/>
                <w:color w:val="FFFFFF"/>
                <w:sz w:val="20"/>
                <w:szCs w:val="20"/>
              </w:rPr>
              <w:t>4</w:t>
            </w:r>
          </w:p>
        </w:tc>
        <w:tc>
          <w:tcPr>
            <w:tcW w:w="1801"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Storage &amp; Alert Engine</w:t>
            </w:r>
          </w:p>
        </w:tc>
        <w:tc>
          <w:tcPr>
            <w:tcW w:w="3838"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Simpan GeoJSON bounding box anomali, level bahaya, confidence score ke database. Push alert ke message queue.</w:t>
            </w:r>
          </w:p>
        </w:tc>
        <w:tc>
          <w:tcPr>
            <w:tcW w:w="360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PostgreSQL + PostGIS, Redis, FastAPI</w:t>
            </w:r>
          </w:p>
        </w:tc>
      </w:tr>
      <w:tr>
        <w:trPr/>
        <w:tc>
          <w:tcPr>
            <w:tcW w:w="399" w:type="dxa"/>
            <w:tcBorders>
              <w:top w:val="single" w:sz="4" w:space="0" w:color="B8CCE4"/>
              <w:start w:val="single" w:sz="4" w:space="0" w:color="B8CCE4"/>
              <w:bottom w:val="single" w:sz="4" w:space="0" w:color="B8CCE4"/>
              <w:end w:val="single" w:sz="4" w:space="0" w:color="B8CCE4"/>
            </w:tcBorders>
            <w:shd w:fill="1F3864" w:val="clear"/>
          </w:tcPr>
          <w:p>
            <w:pPr>
              <w:pStyle w:val="Normal"/>
              <w:spacing w:before="0" w:after="0"/>
              <w:jc w:val="start"/>
              <w:rPr/>
            </w:pPr>
            <w:r>
              <w:rPr>
                <w:rFonts w:eastAsia="Arial" w:cs="Arial"/>
                <w:b w:val="false"/>
                <w:bCs w:val="false"/>
                <w:color w:val="FFFFFF"/>
                <w:sz w:val="20"/>
                <w:szCs w:val="20"/>
              </w:rPr>
              <w:t>5</w:t>
            </w:r>
          </w:p>
        </w:tc>
        <w:tc>
          <w:tcPr>
            <w:tcW w:w="1801"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bCs/>
                <w:color w:val="000000"/>
                <w:sz w:val="20"/>
                <w:szCs w:val="20"/>
              </w:rPr>
              <w:t>Presentation</w:t>
            </w:r>
          </w:p>
        </w:tc>
        <w:tc>
          <w:tcPr>
            <w:tcW w:w="3838"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Dashboard GIS web: peta aset, heatmap, projected path cuaca, alert feed real-time via WebSocket.</w:t>
            </w:r>
          </w:p>
        </w:tc>
        <w:tc>
          <w:tcPr>
            <w:tcW w:w="3600"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Next.js, MapLibre GL, WebSocket, Recharts</w:t>
            </w:r>
          </w:p>
        </w:tc>
      </w:tr>
    </w:tbl>
    <w:p>
      <w:pPr>
        <w:pStyle w:val="Normal"/>
        <w:spacing w:before="0" w:after="160"/>
        <w:rPr/>
      </w:pPr>
      <w:r>
        <w:rPr/>
      </w:r>
    </w:p>
    <w:p>
      <w:pPr>
        <w:pStyle w:val="Heading2"/>
        <w:spacing w:before="280" w:after="120"/>
        <w:rPr/>
      </w:pPr>
      <w:r>
        <w:rPr>
          <w:rFonts w:eastAsia="Arial" w:cs="Arial" w:ascii="Arial" w:hAnsi="Arial"/>
          <w:b/>
          <w:bCs/>
          <w:color w:val="1F3864"/>
          <w:sz w:val="24"/>
          <w:szCs w:val="24"/>
        </w:rPr>
        <w:t>7.2 Metodologi Deteksi Anomali Metana</w:t>
      </w:r>
    </w:p>
    <w:p>
      <w:pPr>
        <w:pStyle w:val="Heading3"/>
        <w:spacing w:before="180" w:after="80"/>
        <w:rPr/>
      </w:pPr>
      <w:r>
        <w:rPr>
          <w:rFonts w:eastAsia="Arial" w:cs="Arial" w:ascii="Arial" w:hAnsi="Arial"/>
          <w:b/>
          <w:bCs/>
          <w:color w:val="2E75B6"/>
          <w:sz w:val="22"/>
          <w:szCs w:val="22"/>
        </w:rPr>
        <w:t>Fase MVP: Statistical Baseline Detection</w:t>
      </w:r>
    </w:p>
    <w:p>
      <w:pPr>
        <w:pStyle w:val="Normal"/>
        <w:spacing w:before="0" w:after="160"/>
        <w:rPr/>
      </w:pPr>
      <w:r>
        <w:rPr>
          <w:rFonts w:eastAsia="Arial" w:cs="Arial"/>
          <w:sz w:val="22"/>
          <w:szCs w:val="22"/>
        </w:rPr>
        <w:t>Pendekatan statistik sederhana yang dapat dieksplain kepada auditor dan regulator tanpa memerlukan pemahaman machine learning:</w:t>
      </w:r>
    </w:p>
    <w:p>
      <w:pPr>
        <w:pStyle w:val="Normal"/>
        <w:spacing w:before="0" w:after="80"/>
        <w:rPr/>
      </w:pPr>
      <w:r>
        <w:rPr/>
      </w:r>
    </w:p>
    <w:tbl>
      <w:tblPr>
        <w:tblW w:w="9638" w:type="dxa"/>
        <w:jc w:val="start"/>
        <w:tblInd w:w="0" w:type="dxa"/>
        <w:tblLayout w:type="fixed"/>
        <w:tblCellMar>
          <w:top w:w="100" w:type="dxa"/>
          <w:start w:w="140" w:type="dxa"/>
          <w:bottom w:w="100" w:type="dxa"/>
          <w:end w:w="140" w:type="dxa"/>
        </w:tblCellMar>
      </w:tblPr>
      <w:tblGrid>
        <w:gridCol w:w="2600"/>
        <w:gridCol w:w="7038"/>
      </w:tblGrid>
      <w:tr>
        <w:trPr>
          <w:tblHeader w:val="true"/>
        </w:trPr>
        <w:tc>
          <w:tcPr>
            <w:tcW w:w="260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Tahap</w:t>
            </w:r>
          </w:p>
        </w:tc>
        <w:tc>
          <w:tcPr>
            <w:tcW w:w="7038"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Detail Teknis</w:t>
            </w:r>
          </w:p>
        </w:tc>
      </w:tr>
      <w:tr>
        <w:trPr/>
        <w:tc>
          <w:tcPr>
            <w:tcW w:w="2600"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bCs/>
                <w:color w:val="000000"/>
                <w:sz w:val="20"/>
                <w:szCs w:val="20"/>
              </w:rPr>
              <w:t>1. Bangun Baseline</w:t>
            </w:r>
          </w:p>
        </w:tc>
        <w:tc>
          <w:tcPr>
            <w:tcW w:w="7038"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Untuk setiap piksel dalam AOI: hitung median dan standar deviasi XCH4 dari 60 hari data valid terakhir (qa_value &gt;= 0.5). Baseline diperbarui otomatis setiap data baru masuk.</w:t>
            </w:r>
          </w:p>
        </w:tc>
      </w:tr>
      <w:tr>
        <w:trPr/>
        <w:tc>
          <w:tcPr>
            <w:tcW w:w="260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2. Deteksi Anomali</w:t>
            </w:r>
          </w:p>
        </w:tc>
        <w:tc>
          <w:tcPr>
            <w:tcW w:w="7038"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anomaly_score = (XCH4_hari_ini - baseline) / std_dev. Piksel dengan anomaly_score &gt; k dianggap anomali. Default k = 2.5, dapat dikonfigurasi per site berdasarkan karakteristik lokal.</w:t>
            </w:r>
          </w:p>
        </w:tc>
      </w:tr>
      <w:tr>
        <w:trPr/>
        <w:tc>
          <w:tcPr>
            <w:tcW w:w="2600"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bCs/>
                <w:color w:val="000000"/>
                <w:sz w:val="20"/>
                <w:szCs w:val="20"/>
              </w:rPr>
              <w:t>3. Agregasi ke Level Site</w:t>
            </w:r>
          </w:p>
        </w:tc>
        <w:tc>
          <w:tcPr>
            <w:tcW w:w="7038"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Hitung persentase piksel anomali dalam AOI. CRITICAL: &gt;= 40% piksel anomali. WARNING: 20-40%. NORMAL: &lt; 20%.</w:t>
            </w:r>
          </w:p>
        </w:tc>
      </w:tr>
      <w:tr>
        <w:trPr/>
        <w:tc>
          <w:tcPr>
            <w:tcW w:w="260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4. Confidence Score</w:t>
            </w:r>
          </w:p>
        </w:tc>
        <w:tc>
          <w:tcPr>
            <w:tcW w:w="7038"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Dihitung berdasarkan persentase anomali dan kualitas data. Jika &lt; 30% piksel valid tersedia, deteksi di-skip dan dicatat sebagai 'insufficient data' (bukan false alarm).</w:t>
            </w:r>
          </w:p>
        </w:tc>
      </w:tr>
    </w:tbl>
    <w:p>
      <w:pPr>
        <w:pStyle w:val="Normal"/>
        <w:spacing w:before="0" w:after="100"/>
        <w:rPr/>
      </w:pPr>
      <w:r>
        <w:rPr/>
      </w:r>
    </w:p>
    <w:p>
      <w:pPr>
        <w:pStyle w:val="Normal"/>
        <w:spacing w:before="0" w:after="160"/>
        <w:rPr/>
      </w:pPr>
      <w:r>
        <w:rPr>
          <w:rFonts w:eastAsia="Arial" w:cs="Arial"/>
          <w:sz w:val="22"/>
          <w:szCs w:val="22"/>
        </w:rPr>
        <w:t>Catatan: threshold k dapat disesuaikan per site — area sekitar rawa/gambut memerlukan k lebih tinggi karena background metana alami lebih tinggi di area tersebut.</w:t>
      </w:r>
    </w:p>
    <w:p>
      <w:pPr>
        <w:pStyle w:val="Normal"/>
        <w:spacing w:before="0" w:after="120"/>
        <w:rPr/>
      </w:pPr>
      <w:r>
        <w:rPr/>
      </w:r>
    </w:p>
    <w:p>
      <w:pPr>
        <w:pStyle w:val="Heading3"/>
        <w:spacing w:before="180" w:after="80"/>
        <w:rPr/>
      </w:pPr>
      <w:r>
        <w:rPr>
          <w:rFonts w:eastAsia="Arial" w:cs="Arial" w:ascii="Arial" w:hAnsi="Arial"/>
          <w:b/>
          <w:bCs/>
          <w:color w:val="2E75B6"/>
          <w:sz w:val="22"/>
          <w:szCs w:val="22"/>
        </w:rPr>
        <w:t>Fase Lanjutan: Machine Learning Enhancement</w:t>
      </w:r>
    </w:p>
    <w:p>
      <w:pPr>
        <w:pStyle w:val="ListParagraph"/>
        <w:numPr>
          <w:ilvl w:val="0"/>
          <w:numId w:val="1"/>
        </w:numPr>
        <w:spacing w:before="0" w:after="80"/>
        <w:rPr/>
      </w:pPr>
      <w:r>
        <w:rPr>
          <w:rFonts w:eastAsia="Arial" w:cs="Arial"/>
          <w:sz w:val="22"/>
          <w:szCs w:val="22"/>
        </w:rPr>
        <w:t>Isolation Forest untuk deteksi anomali multivariat (XCH4 + variabel meteorologi dari ERA5 reanalysis)</w:t>
      </w:r>
    </w:p>
    <w:p>
      <w:pPr>
        <w:pStyle w:val="ListParagraph"/>
        <w:numPr>
          <w:ilvl w:val="0"/>
          <w:numId w:val="1"/>
        </w:numPr>
        <w:spacing w:before="0" w:after="80"/>
        <w:rPr/>
      </w:pPr>
      <w:r>
        <w:rPr>
          <w:rFonts w:eastAsia="Arial" w:cs="Arial"/>
          <w:sz w:val="22"/>
          <w:szCs w:val="22"/>
        </w:rPr>
        <w:t>CNN Plume Detection untuk mengenali pola dispersi gas spasial dan estimasi arah sumber emisi</w:t>
      </w:r>
    </w:p>
    <w:p>
      <w:pPr>
        <w:pStyle w:val="ListParagraph"/>
        <w:numPr>
          <w:ilvl w:val="0"/>
          <w:numId w:val="1"/>
        </w:numPr>
        <w:spacing w:before="0" w:after="80"/>
        <w:rPr/>
      </w:pPr>
      <w:r>
        <w:rPr>
          <w:rFonts w:eastAsia="Arial" w:cs="Arial"/>
          <w:sz w:val="22"/>
          <w:szCs w:val="22"/>
        </w:rPr>
        <w:t>Estimasi laju emisi (kg CH4/jam) dari pola spasial terdeteksi</w:t>
      </w:r>
    </w:p>
    <w:p>
      <w:pPr>
        <w:pStyle w:val="Normal"/>
        <w:spacing w:before="0" w:after="120"/>
        <w:rPr/>
      </w:pPr>
      <w:r>
        <w:rPr/>
      </w:r>
    </w:p>
    <w:p>
      <w:pPr>
        <w:pStyle w:val="Heading2"/>
        <w:spacing w:before="280" w:after="120"/>
        <w:rPr/>
      </w:pPr>
      <w:r>
        <w:rPr>
          <w:rFonts w:eastAsia="Arial" w:cs="Arial" w:ascii="Arial" w:hAnsi="Arial"/>
          <w:b/>
          <w:bCs/>
          <w:color w:val="1F3864"/>
          <w:sz w:val="24"/>
          <w:szCs w:val="24"/>
        </w:rPr>
        <w:t>7.3 Metodologi Pemantauan Cuaca Ekstrem</w:t>
      </w:r>
    </w:p>
    <w:p>
      <w:pPr>
        <w:pStyle w:val="ListParagraph"/>
        <w:numPr>
          <w:ilvl w:val="0"/>
          <w:numId w:val="1"/>
        </w:numPr>
        <w:spacing w:before="0" w:after="80"/>
        <w:rPr/>
      </w:pPr>
      <w:r>
        <w:rPr>
          <w:rFonts w:eastAsia="Arial" w:cs="Arial"/>
          <w:sz w:val="22"/>
          <w:szCs w:val="22"/>
        </w:rPr>
        <w:t>Ekstraksi Band 13 (IR 10.4 mikron) Himawari-9 untuk identifikasi sistem konvektif aktif (Brightness Temperature &lt; 235 Kelvin)</w:t>
      </w:r>
    </w:p>
    <w:p>
      <w:pPr>
        <w:pStyle w:val="ListParagraph"/>
        <w:numPr>
          <w:ilvl w:val="0"/>
          <w:numId w:val="1"/>
        </w:numPr>
        <w:spacing w:before="0" w:after="80"/>
        <w:rPr/>
      </w:pPr>
      <w:r>
        <w:rPr>
          <w:rFonts w:eastAsia="Arial" w:cs="Arial"/>
          <w:sz w:val="22"/>
          <w:szCs w:val="22"/>
        </w:rPr>
        <w:t>Analisis optical flow antar frame berurutan untuk menghitung vektor kecepatan dan arah sistem cuaca</w:t>
      </w:r>
    </w:p>
    <w:p>
      <w:pPr>
        <w:pStyle w:val="ListParagraph"/>
        <w:numPr>
          <w:ilvl w:val="0"/>
          <w:numId w:val="1"/>
        </w:numPr>
        <w:spacing w:before="0" w:after="80"/>
        <w:rPr/>
      </w:pPr>
      <w:r>
        <w:rPr>
          <w:rFonts w:eastAsia="Arial" w:cs="Arial"/>
          <w:sz w:val="22"/>
          <w:szCs w:val="22"/>
        </w:rPr>
        <w:t>Proyeksi lintasan ke depan 6, 12, dan 24 jam; hitung jarak minimum ke setiap koordinat aset yang dikonfigurasi</w:t>
      </w:r>
    </w:p>
    <w:p>
      <w:pPr>
        <w:pStyle w:val="ListParagraph"/>
        <w:numPr>
          <w:ilvl w:val="0"/>
          <w:numId w:val="1"/>
        </w:numPr>
        <w:spacing w:before="0" w:after="80"/>
        <w:rPr/>
      </w:pPr>
      <w:r>
        <w:rPr>
          <w:rFonts w:eastAsia="Arial" w:cs="Arial"/>
          <w:sz w:val="22"/>
          <w:szCs w:val="22"/>
        </w:rPr>
        <w:t>Integrasi data NWP (BMKG / ECMWF) sebagai validasi di fase lanjutan</w:t>
      </w:r>
    </w:p>
    <w:p>
      <w:pPr>
        <w:pStyle w:val="Normal"/>
        <w:spacing w:before="0" w:after="120"/>
        <w:rPr/>
      </w:pPr>
      <w:r>
        <w:rPr/>
      </w:r>
    </w:p>
    <w:p>
      <w:pPr>
        <w:pStyle w:val="Heading2"/>
        <w:spacing w:before="280" w:after="120"/>
        <w:rPr/>
      </w:pPr>
      <w:r>
        <w:rPr>
          <w:rFonts w:eastAsia="Arial" w:cs="Arial" w:ascii="Arial" w:hAnsi="Arial"/>
          <w:b/>
          <w:bCs/>
          <w:color w:val="1F3864"/>
          <w:sz w:val="24"/>
          <w:szCs w:val="24"/>
        </w:rPr>
        <w:t>7.4 Klasifikasi Level Bahaya</w:t>
      </w:r>
    </w:p>
    <w:tbl>
      <w:tblPr>
        <w:tblW w:w="9638" w:type="dxa"/>
        <w:jc w:val="start"/>
        <w:tblInd w:w="0" w:type="dxa"/>
        <w:tblLayout w:type="fixed"/>
        <w:tblCellMar>
          <w:top w:w="100" w:type="dxa"/>
          <w:start w:w="140" w:type="dxa"/>
          <w:bottom w:w="100" w:type="dxa"/>
          <w:end w:w="140" w:type="dxa"/>
        </w:tblCellMar>
      </w:tblPr>
      <w:tblGrid>
        <w:gridCol w:w="1300"/>
        <w:gridCol w:w="2150"/>
        <w:gridCol w:w="2149"/>
        <w:gridCol w:w="1739"/>
        <w:gridCol w:w="2300"/>
      </w:tblGrid>
      <w:tr>
        <w:trPr>
          <w:tblHeader w:val="true"/>
        </w:trPr>
        <w:tc>
          <w:tcPr>
            <w:tcW w:w="130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Level</w:t>
            </w:r>
          </w:p>
        </w:tc>
        <w:tc>
          <w:tcPr>
            <w:tcW w:w="215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Kondisi CH4</w:t>
            </w:r>
          </w:p>
        </w:tc>
        <w:tc>
          <w:tcPr>
            <w:tcW w:w="214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Kondisi Cuaca</w:t>
            </w:r>
          </w:p>
        </w:tc>
        <w:tc>
          <w:tcPr>
            <w:tcW w:w="173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Notifikasi</w:t>
            </w:r>
          </w:p>
        </w:tc>
        <w:tc>
          <w:tcPr>
            <w:tcW w:w="230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Tindakan Operator</w:t>
            </w:r>
          </w:p>
        </w:tc>
      </w:tr>
      <w:tr>
        <w:trPr/>
        <w:tc>
          <w:tcPr>
            <w:tcW w:w="1300"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center"/>
              <w:rPr/>
            </w:pPr>
            <w:r>
              <w:rPr>
                <w:rFonts w:eastAsia="Arial" w:cs="Arial"/>
                <w:b/>
                <w:bCs/>
                <w:color w:val="9C0006"/>
                <w:sz w:val="20"/>
                <w:szCs w:val="20"/>
              </w:rPr>
              <w:t>CRITICAL</w:t>
            </w:r>
          </w:p>
        </w:tc>
        <w:tc>
          <w:tcPr>
            <w:tcW w:w="2150"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val="false"/>
                <w:bCs w:val="false"/>
                <w:color w:val="000000"/>
                <w:sz w:val="20"/>
                <w:szCs w:val="20"/>
              </w:rPr>
              <w:t>&gt;= 40% piksel AOI anomali (&gt; baseline + 2.5s)</w:t>
            </w:r>
          </w:p>
        </w:tc>
        <w:tc>
          <w:tcPr>
            <w:tcW w:w="2149"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val="false"/>
                <w:bCs w:val="false"/>
                <w:color w:val="000000"/>
                <w:sz w:val="20"/>
                <w:szCs w:val="20"/>
              </w:rPr>
              <w:t>Sistem cuaca radius &lt;= 50 km dari aset</w:t>
            </w:r>
          </w:p>
        </w:tc>
        <w:tc>
          <w:tcPr>
            <w:tcW w:w="1739"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val="false"/>
                <w:bCs w:val="false"/>
                <w:color w:val="000000"/>
                <w:sz w:val="20"/>
                <w:szCs w:val="20"/>
              </w:rPr>
              <w:t>Alert push + log insiden</w:t>
            </w:r>
          </w:p>
        </w:tc>
        <w:tc>
          <w:tcPr>
            <w:tcW w:w="2300" w:type="dxa"/>
            <w:tcBorders>
              <w:top w:val="single" w:sz="4" w:space="0" w:color="B8CCE4"/>
              <w:start w:val="single" w:sz="4" w:space="0" w:color="B8CCE4"/>
              <w:bottom w:val="single" w:sz="4" w:space="0" w:color="B8CCE4"/>
              <w:end w:val="single" w:sz="4" w:space="0" w:color="B8CCE4"/>
            </w:tcBorders>
            <w:shd w:fill="FFE7E7" w:val="clear"/>
          </w:tcPr>
          <w:p>
            <w:pPr>
              <w:pStyle w:val="Normal"/>
              <w:spacing w:before="0" w:after="0"/>
              <w:jc w:val="start"/>
              <w:rPr/>
            </w:pPr>
            <w:r>
              <w:rPr>
                <w:rFonts w:eastAsia="Arial" w:cs="Arial"/>
                <w:b w:val="false"/>
                <w:bCs w:val="false"/>
                <w:color w:val="000000"/>
                <w:sz w:val="20"/>
                <w:szCs w:val="20"/>
              </w:rPr>
              <w:t>Eskalasi ke emergency response, siapkan protokol darurat</w:t>
            </w:r>
          </w:p>
        </w:tc>
      </w:tr>
      <w:tr>
        <w:trPr/>
        <w:tc>
          <w:tcPr>
            <w:tcW w:w="1300"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center"/>
              <w:rPr/>
            </w:pPr>
            <w:r>
              <w:rPr>
                <w:rFonts w:eastAsia="Arial" w:cs="Arial"/>
                <w:b/>
                <w:bCs/>
                <w:color w:val="7D5A17"/>
                <w:sz w:val="20"/>
                <w:szCs w:val="20"/>
              </w:rPr>
              <w:t>WARNING</w:t>
            </w:r>
          </w:p>
        </w:tc>
        <w:tc>
          <w:tcPr>
            <w:tcW w:w="2150"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start"/>
              <w:rPr/>
            </w:pPr>
            <w:r>
              <w:rPr>
                <w:rFonts w:eastAsia="Arial" w:cs="Arial"/>
                <w:b w:val="false"/>
                <w:bCs w:val="false"/>
                <w:color w:val="000000"/>
                <w:sz w:val="20"/>
                <w:szCs w:val="20"/>
              </w:rPr>
              <w:t>20-40% piksel AOI anomali</w:t>
            </w:r>
          </w:p>
        </w:tc>
        <w:tc>
          <w:tcPr>
            <w:tcW w:w="2149"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start"/>
              <w:rPr/>
            </w:pPr>
            <w:r>
              <w:rPr>
                <w:rFonts w:eastAsia="Arial" w:cs="Arial"/>
                <w:b w:val="false"/>
                <w:bCs w:val="false"/>
                <w:color w:val="000000"/>
                <w:sz w:val="20"/>
                <w:szCs w:val="20"/>
              </w:rPr>
              <w:t>Sistem cuaca radius 50-100 km dari aset</w:t>
            </w:r>
          </w:p>
        </w:tc>
        <w:tc>
          <w:tcPr>
            <w:tcW w:w="1739"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start"/>
              <w:rPr/>
            </w:pPr>
            <w:r>
              <w:rPr>
                <w:rFonts w:eastAsia="Arial" w:cs="Arial"/>
                <w:b w:val="false"/>
                <w:bCs w:val="false"/>
                <w:color w:val="000000"/>
                <w:sz w:val="20"/>
                <w:szCs w:val="20"/>
              </w:rPr>
              <w:t>Notifikasi dashboard</w:t>
            </w:r>
          </w:p>
        </w:tc>
        <w:tc>
          <w:tcPr>
            <w:tcW w:w="2300"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start"/>
              <w:rPr/>
            </w:pPr>
            <w:r>
              <w:rPr>
                <w:rFonts w:eastAsia="Arial" w:cs="Arial"/>
                <w:b w:val="false"/>
                <w:bCs w:val="false"/>
                <w:color w:val="000000"/>
                <w:sz w:val="20"/>
                <w:szCs w:val="20"/>
              </w:rPr>
              <w:t>Tingkatkan monitoring, siapkan tim siaga</w:t>
            </w:r>
          </w:p>
        </w:tc>
      </w:tr>
      <w:tr>
        <w:trPr/>
        <w:tc>
          <w:tcPr>
            <w:tcW w:w="1300"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center"/>
              <w:rPr/>
            </w:pPr>
            <w:r>
              <w:rPr>
                <w:rFonts w:eastAsia="Arial" w:cs="Arial"/>
                <w:b/>
                <w:bCs/>
                <w:color w:val="375623"/>
                <w:sz w:val="20"/>
                <w:szCs w:val="20"/>
              </w:rPr>
              <w:t>NORMAL</w:t>
            </w:r>
          </w:p>
        </w:tc>
        <w:tc>
          <w:tcPr>
            <w:tcW w:w="2150"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&lt; 20% piksel anomali</w:t>
            </w:r>
          </w:p>
        </w:tc>
        <w:tc>
          <w:tcPr>
            <w:tcW w:w="2149"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Tidak ada ancaman cuaca signifikan</w:t>
            </w:r>
          </w:p>
        </w:tc>
        <w:tc>
          <w:tcPr>
            <w:tcW w:w="1739"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Update dashboard saja</w:t>
            </w:r>
          </w:p>
        </w:tc>
        <w:tc>
          <w:tcPr>
            <w:tcW w:w="2300" w:type="dxa"/>
            <w:tcBorders>
              <w:top w:val="single" w:sz="4" w:space="0" w:color="B8CCE4"/>
              <w:start w:val="single" w:sz="4" w:space="0" w:color="B8CCE4"/>
              <w:bottom w:val="single" w:sz="4" w:space="0" w:color="B8CCE4"/>
              <w:end w:val="single" w:sz="4" w:space="0" w:color="B8CCE4"/>
            </w:tcBorders>
            <w:shd w:fill="E2EFDA" w:val="clear"/>
          </w:tcPr>
          <w:p>
            <w:pPr>
              <w:pStyle w:val="Normal"/>
              <w:spacing w:before="0" w:after="0"/>
              <w:jc w:val="start"/>
              <w:rPr/>
            </w:pPr>
            <w:r>
              <w:rPr>
                <w:rFonts w:eastAsia="Arial" w:cs="Arial"/>
                <w:b w:val="false"/>
                <w:bCs w:val="false"/>
                <w:color w:val="000000"/>
                <w:sz w:val="20"/>
                <w:szCs w:val="20"/>
              </w:rPr>
              <w:t>Operasional normal</w:t>
            </w:r>
          </w:p>
        </w:tc>
      </w:tr>
      <w:tr>
        <w:trPr/>
        <w:tc>
          <w:tcPr>
            <w:tcW w:w="1300"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center"/>
              <w:rPr/>
            </w:pPr>
            <w:r>
              <w:rPr>
                <w:rFonts w:eastAsia="Arial" w:cs="Arial"/>
                <w:b/>
                <w:bCs/>
                <w:color w:val="555555"/>
                <w:sz w:val="20"/>
                <w:szCs w:val="20"/>
              </w:rPr>
              <w:t>NO DATA</w:t>
            </w:r>
          </w:p>
        </w:tc>
        <w:tc>
          <w:tcPr>
            <w:tcW w:w="2150"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val="false"/>
                <w:bCs w:val="false"/>
                <w:color w:val="000000"/>
                <w:sz w:val="20"/>
                <w:szCs w:val="20"/>
              </w:rPr>
              <w:t>Data tidak tersedia (cloud cover / gagal unduh)</w:t>
            </w:r>
          </w:p>
        </w:tc>
        <w:tc>
          <w:tcPr>
            <w:tcW w:w="2149"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val="false"/>
                <w:bCs w:val="false"/>
                <w:color w:val="000000"/>
                <w:sz w:val="20"/>
                <w:szCs w:val="20"/>
              </w:rPr>
              <w:t>—</w:t>
            </w:r>
          </w:p>
        </w:tc>
        <w:tc>
          <w:tcPr>
            <w:tcW w:w="1739"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val="false"/>
                <w:bCs w:val="false"/>
                <w:color w:val="000000"/>
                <w:sz w:val="20"/>
                <w:szCs w:val="20"/>
              </w:rPr>
              <w:t>Status abu-abu di dashboard</w:t>
            </w:r>
          </w:p>
        </w:tc>
        <w:tc>
          <w:tcPr>
            <w:tcW w:w="2300"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val="false"/>
                <w:bCs w:val="false"/>
                <w:color w:val="000000"/>
                <w:sz w:val="20"/>
                <w:szCs w:val="20"/>
              </w:rPr>
              <w:t>Tidak ada aksi; sistem notifikasi saat data kembali tersedia</w:t>
            </w:r>
          </w:p>
        </w:tc>
      </w:tr>
    </w:tbl>
    <w:p>
      <w:pPr>
        <w:pStyle w:val="Normal"/>
        <w:spacing w:before="0" w:after="0"/>
        <w:rPr/>
      </w:pPr>
      <w:r>
        <w:rPr/>
      </w:r>
      <w:r>
        <w:br w:type="page"/>
      </w:r>
    </w:p>
    <w:p>
      <w:pPr>
        <w:pStyle w:val="Heading1"/>
        <w:pBdr>
          <w:bottom w:val="single" w:sz="8" w:space="2" w:color="2E75B6"/>
        </w:pBdr>
        <w:spacing w:before="0" w:after="200"/>
        <w:rPr/>
      </w:pPr>
      <w:r>
        <w:rPr>
          <w:rFonts w:eastAsia="Arial" w:cs="Arial" w:ascii="Arial" w:hAnsi="Arial"/>
          <w:b/>
          <w:bCs/>
          <w:color w:val="1F3864"/>
          <w:sz w:val="30"/>
          <w:szCs w:val="30"/>
        </w:rPr>
        <w:t>8. Pendekatan Pengembangan Bertahap</w:t>
      </w:r>
    </w:p>
    <w:tbl>
      <w:tblPr>
        <w:tblW w:w="9638" w:type="dxa"/>
        <w:jc w:val="start"/>
        <w:tblInd w:w="0" w:type="dxa"/>
        <w:tblLayout w:type="fixed"/>
        <w:tblCellMar>
          <w:top w:w="100" w:type="dxa"/>
          <w:start w:w="140" w:type="dxa"/>
          <w:bottom w:w="100" w:type="dxa"/>
          <w:end w:w="140" w:type="dxa"/>
        </w:tblCellMar>
      </w:tblPr>
      <w:tblGrid>
        <w:gridCol w:w="1300"/>
        <w:gridCol w:w="1399"/>
        <w:gridCol w:w="3938"/>
        <w:gridCol w:w="3001"/>
      </w:tblGrid>
      <w:tr>
        <w:trPr>
          <w:tblHeader w:val="true"/>
        </w:trPr>
        <w:tc>
          <w:tcPr>
            <w:tcW w:w="130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Fase</w:t>
            </w:r>
          </w:p>
        </w:tc>
        <w:tc>
          <w:tcPr>
            <w:tcW w:w="139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Timeline</w:t>
            </w:r>
          </w:p>
        </w:tc>
        <w:tc>
          <w:tcPr>
            <w:tcW w:w="3938"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Lingkup Pekerjaan</w:t>
            </w:r>
          </w:p>
        </w:tc>
        <w:tc>
          <w:tcPr>
            <w:tcW w:w="3001"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Deliverable</w:t>
            </w:r>
          </w:p>
        </w:tc>
      </w:tr>
      <w:tr>
        <w:trPr/>
        <w:tc>
          <w:tcPr>
            <w:tcW w:w="1300"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start"/>
              <w:rPr/>
            </w:pPr>
            <w:r>
              <w:rPr>
                <w:rFonts w:eastAsia="Arial" w:cs="Arial"/>
                <w:b/>
                <w:bCs/>
                <w:color w:val="000000"/>
                <w:sz w:val="20"/>
                <w:szCs w:val="20"/>
              </w:rPr>
              <w:t>Fase 0: Technical Spike</w:t>
            </w:r>
          </w:p>
        </w:tc>
        <w:tc>
          <w:tcPr>
            <w:tcW w:w="1399"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start"/>
              <w:rPr/>
            </w:pPr>
            <w:r>
              <w:rPr>
                <w:rFonts w:eastAsia="Arial" w:cs="Arial"/>
                <w:b w:val="false"/>
                <w:bCs w:val="false"/>
                <w:color w:val="000000"/>
                <w:sz w:val="20"/>
                <w:szCs w:val="20"/>
              </w:rPr>
              <w:t>2–4 minggu</w:t>
            </w:r>
          </w:p>
        </w:tc>
        <w:tc>
          <w:tcPr>
            <w:tcW w:w="3938"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80"/>
              <w:rPr/>
            </w:pPr>
            <w:r>
              <w:rPr>
                <w:rFonts w:eastAsia="Arial" w:cs="Arial"/>
                <w:b/>
                <w:bCs/>
                <w:sz w:val="20"/>
                <w:szCs w:val="20"/>
              </w:rPr>
              <w:t>Validasi teknis sebelum full development:</w:t>
            </w:r>
          </w:p>
          <w:p>
            <w:pPr>
              <w:pStyle w:val="ListParagraph"/>
              <w:numPr>
                <w:ilvl w:val="0"/>
                <w:numId w:val="1"/>
              </w:numPr>
              <w:spacing w:before="0" w:after="60"/>
              <w:rPr/>
            </w:pPr>
            <w:r>
              <w:rPr>
                <w:rFonts w:eastAsia="Arial" w:cs="Arial"/>
                <w:sz w:val="20"/>
                <w:szCs w:val="20"/>
              </w:rPr>
              <w:t>Eksplorasi data TROPOMI aktual untuk koordinat Indonesia</w:t>
            </w:r>
          </w:p>
          <w:p>
            <w:pPr>
              <w:pStyle w:val="ListParagraph"/>
              <w:numPr>
                <w:ilvl w:val="0"/>
                <w:numId w:val="1"/>
              </w:numPr>
              <w:spacing w:before="0" w:after="60"/>
              <w:rPr/>
            </w:pPr>
            <w:r>
              <w:rPr>
                <w:rFonts w:eastAsia="Arial" w:cs="Arial"/>
                <w:sz w:val="20"/>
                <w:szCs w:val="20"/>
              </w:rPr>
              <w:t>Analisis kualitas data: hari valid per bulan per area target</w:t>
            </w:r>
          </w:p>
          <w:p>
            <w:pPr>
              <w:pStyle w:val="ListParagraph"/>
              <w:numPr>
                <w:ilvl w:val="0"/>
                <w:numId w:val="1"/>
              </w:numPr>
              <w:spacing w:before="0" w:after="60"/>
              <w:rPr/>
            </w:pPr>
            <w:r>
              <w:rPr>
                <w:rFonts w:eastAsia="Arial" w:cs="Arial"/>
                <w:sz w:val="20"/>
                <w:szCs w:val="20"/>
              </w:rPr>
              <w:t>Proof of concept optical flow pada data Himawari-9</w:t>
            </w:r>
          </w:p>
          <w:p>
            <w:pPr>
              <w:pStyle w:val="ListParagraph"/>
              <w:numPr>
                <w:ilvl w:val="0"/>
                <w:numId w:val="1"/>
              </w:numPr>
              <w:spacing w:before="0" w:after="0"/>
              <w:rPr/>
            </w:pPr>
            <w:r>
              <w:rPr>
                <w:rFonts w:eastAsia="Arial" w:cs="Arial"/>
                <w:sz w:val="20"/>
                <w:szCs w:val="20"/>
              </w:rPr>
              <w:t>Validasi threshold deteksi pada data historis</w:t>
            </w:r>
          </w:p>
        </w:tc>
        <w:tc>
          <w:tcPr>
            <w:tcW w:w="3001"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start"/>
              <w:rPr/>
            </w:pPr>
            <w:r>
              <w:rPr>
                <w:rFonts w:eastAsia="Arial" w:cs="Arial"/>
                <w:b w:val="false"/>
                <w:bCs w:val="false"/>
                <w:color w:val="000000"/>
                <w:sz w:val="20"/>
                <w:szCs w:val="20"/>
              </w:rPr>
              <w:t>Notebook analisis data aktual + laporan temuan untuk finalisasi scope</w:t>
            </w:r>
          </w:p>
        </w:tc>
      </w:tr>
      <w:tr>
        <w:trPr/>
        <w:tc>
          <w:tcPr>
            <w:tcW w:w="1300"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bCs/>
                <w:color w:val="000000"/>
                <w:sz w:val="20"/>
                <w:szCs w:val="20"/>
              </w:rPr>
              <w:t>Fase 1: MVP</w:t>
            </w:r>
          </w:p>
        </w:tc>
        <w:tc>
          <w:tcPr>
            <w:tcW w:w="139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Bulan 1–3</w:t>
            </w:r>
          </w:p>
        </w:tc>
        <w:tc>
          <w:tcPr>
            <w:tcW w:w="3938" w:type="dxa"/>
            <w:tcBorders>
              <w:top w:val="single" w:sz="4" w:space="0" w:color="B8CCE4"/>
              <w:start w:val="single" w:sz="4" w:space="0" w:color="B8CCE4"/>
              <w:bottom w:val="single" w:sz="4" w:space="0" w:color="B8CCE4"/>
              <w:end w:val="single" w:sz="4" w:space="0" w:color="B8CCE4"/>
            </w:tcBorders>
            <w:shd w:fill="D9E2F3" w:val="clear"/>
          </w:tcPr>
          <w:p>
            <w:pPr>
              <w:pStyle w:val="ListParagraph"/>
              <w:numPr>
                <w:ilvl w:val="0"/>
                <w:numId w:val="1"/>
              </w:numPr>
              <w:spacing w:before="0" w:after="60"/>
              <w:rPr/>
            </w:pPr>
            <w:r>
              <w:rPr>
                <w:rFonts w:eastAsia="Arial" w:cs="Arial"/>
                <w:sz w:val="20"/>
                <w:szCs w:val="20"/>
              </w:rPr>
              <w:t>Pipeline ingestion TROPOMI &amp; Himawari-9 otomatis</w:t>
            </w:r>
          </w:p>
          <w:p>
            <w:pPr>
              <w:pStyle w:val="ListParagraph"/>
              <w:numPr>
                <w:ilvl w:val="0"/>
                <w:numId w:val="1"/>
              </w:numPr>
              <w:spacing w:before="0" w:after="60"/>
              <w:rPr/>
            </w:pPr>
            <w:r>
              <w:rPr>
                <w:rFonts w:eastAsia="Arial" w:cs="Arial"/>
                <w:sz w:val="20"/>
                <w:szCs w:val="20"/>
              </w:rPr>
              <w:t>Statistical baseline + anomaly detection CH4</w:t>
            </w:r>
          </w:p>
          <w:p>
            <w:pPr>
              <w:pStyle w:val="ListParagraph"/>
              <w:numPr>
                <w:ilvl w:val="0"/>
                <w:numId w:val="1"/>
              </w:numPr>
              <w:spacing w:before="0" w:after="60"/>
              <w:rPr/>
            </w:pPr>
            <w:r>
              <w:rPr>
                <w:rFonts w:eastAsia="Arial" w:cs="Arial"/>
                <w:sz w:val="20"/>
                <w:szCs w:val="20"/>
              </w:rPr>
              <w:t>Optical flow weather tracking + proyeksi lintasan</w:t>
            </w:r>
          </w:p>
          <w:p>
            <w:pPr>
              <w:pStyle w:val="ListParagraph"/>
              <w:numPr>
                <w:ilvl w:val="0"/>
                <w:numId w:val="1"/>
              </w:numPr>
              <w:spacing w:before="0" w:after="0"/>
              <w:rPr/>
            </w:pPr>
            <w:r>
              <w:rPr>
                <w:rFonts w:eastAsia="Arial" w:cs="Arial"/>
                <w:sz w:val="20"/>
                <w:szCs w:val="20"/>
              </w:rPr>
              <w:t>Dashboard GIS + heatmap + alert feed (1–3 site)</w:t>
            </w:r>
          </w:p>
        </w:tc>
        <w:tc>
          <w:tcPr>
            <w:tcW w:w="3001"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Platform fungsional demo-ready di 1–3 site percontohan</w:t>
            </w:r>
          </w:p>
        </w:tc>
      </w:tr>
      <w:tr>
        <w:trPr/>
        <w:tc>
          <w:tcPr>
            <w:tcW w:w="130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Fase 2: Production</w:t>
            </w:r>
          </w:p>
        </w:tc>
        <w:tc>
          <w:tcPr>
            <w:tcW w:w="139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Bulan 4–6</w:t>
            </w:r>
          </w:p>
        </w:tc>
        <w:tc>
          <w:tcPr>
            <w:tcW w:w="3938" w:type="dxa"/>
            <w:tcBorders>
              <w:top w:val="single" w:sz="4" w:space="0" w:color="B8CCE4"/>
              <w:start w:val="single" w:sz="4" w:space="0" w:color="B8CCE4"/>
              <w:bottom w:val="single" w:sz="4" w:space="0" w:color="B8CCE4"/>
              <w:end w:val="single" w:sz="4" w:space="0" w:color="B8CCE4"/>
            </w:tcBorders>
            <w:shd w:fill="EBF0F8" w:val="clear"/>
          </w:tcPr>
          <w:p>
            <w:pPr>
              <w:pStyle w:val="ListParagraph"/>
              <w:numPr>
                <w:ilvl w:val="0"/>
                <w:numId w:val="1"/>
              </w:numPr>
              <w:spacing w:before="0" w:after="60"/>
              <w:rPr/>
            </w:pPr>
            <w:r>
              <w:rPr>
                <w:rFonts w:eastAsia="Arial" w:cs="Arial"/>
                <w:sz w:val="20"/>
                <w:szCs w:val="20"/>
              </w:rPr>
              <w:t>Multi-site deployment + threshold tuning per site</w:t>
            </w:r>
          </w:p>
          <w:p>
            <w:pPr>
              <w:pStyle w:val="ListParagraph"/>
              <w:numPr>
                <w:ilvl w:val="0"/>
                <w:numId w:val="1"/>
              </w:numPr>
              <w:spacing w:before="0" w:after="60"/>
              <w:rPr/>
            </w:pPr>
            <w:r>
              <w:rPr>
                <w:rFonts w:eastAsia="Arial" w:cs="Arial"/>
                <w:sz w:val="20"/>
                <w:szCs w:val="20"/>
              </w:rPr>
              <w:t>Notifikasi WhatsApp + laporan email otomatis</w:t>
            </w:r>
          </w:p>
          <w:p>
            <w:pPr>
              <w:pStyle w:val="ListParagraph"/>
              <w:numPr>
                <w:ilvl w:val="0"/>
                <w:numId w:val="1"/>
              </w:numPr>
              <w:spacing w:before="0" w:after="60"/>
              <w:rPr/>
            </w:pPr>
            <w:r>
              <w:rPr>
                <w:rFonts w:eastAsia="Arial" w:cs="Arial"/>
                <w:sz w:val="20"/>
                <w:szCs w:val="20"/>
              </w:rPr>
              <w:t>Laporan emisi bulanan auto-generated (PDF)</w:t>
            </w:r>
          </w:p>
          <w:p>
            <w:pPr>
              <w:pStyle w:val="ListParagraph"/>
              <w:numPr>
                <w:ilvl w:val="0"/>
                <w:numId w:val="1"/>
              </w:numPr>
              <w:spacing w:before="0" w:after="0"/>
              <w:rPr/>
            </w:pPr>
            <w:r>
              <w:rPr>
                <w:rFonts w:eastAsia="Arial" w:cs="Arial"/>
                <w:sz w:val="20"/>
                <w:szCs w:val="20"/>
              </w:rPr>
              <w:t>On-premise deployment di infrastruktur klien</w:t>
            </w:r>
          </w:p>
        </w:tc>
        <w:tc>
          <w:tcPr>
            <w:tcW w:w="3001"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Platform production-ready, multi-aset, notifikasi penuh</w:t>
            </w:r>
          </w:p>
        </w:tc>
      </w:tr>
      <w:tr>
        <w:trPr/>
        <w:tc>
          <w:tcPr>
            <w:tcW w:w="1300"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bCs/>
                <w:color w:val="000000"/>
                <w:sz w:val="20"/>
                <w:szCs w:val="20"/>
              </w:rPr>
              <w:t>Fase 3: Enhancement</w:t>
            </w:r>
          </w:p>
        </w:tc>
        <w:tc>
          <w:tcPr>
            <w:tcW w:w="1399"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val="false"/>
                <w:bCs w:val="false"/>
                <w:color w:val="000000"/>
                <w:sz w:val="20"/>
                <w:szCs w:val="20"/>
              </w:rPr>
              <w:t>Bulan 7+</w:t>
            </w:r>
          </w:p>
        </w:tc>
        <w:tc>
          <w:tcPr>
            <w:tcW w:w="3938" w:type="dxa"/>
            <w:tcBorders>
              <w:top w:val="single" w:sz="4" w:space="0" w:color="B8CCE4"/>
              <w:start w:val="single" w:sz="4" w:space="0" w:color="B8CCE4"/>
              <w:bottom w:val="single" w:sz="4" w:space="0" w:color="B8CCE4"/>
              <w:end w:val="single" w:sz="4" w:space="0" w:color="B8CCE4"/>
            </w:tcBorders>
            <w:shd w:fill="F2F2F2" w:val="clear"/>
          </w:tcPr>
          <w:p>
            <w:pPr>
              <w:pStyle w:val="ListParagraph"/>
              <w:numPr>
                <w:ilvl w:val="0"/>
                <w:numId w:val="1"/>
              </w:numPr>
              <w:spacing w:before="0" w:after="60"/>
              <w:rPr/>
            </w:pPr>
            <w:r>
              <w:rPr>
                <w:rFonts w:eastAsia="Arial" w:cs="Arial"/>
                <w:sz w:val="20"/>
                <w:szCs w:val="20"/>
              </w:rPr>
              <w:t>ML-based anomaly detection (Isolation Forest, CNN plume)</w:t>
            </w:r>
          </w:p>
          <w:p>
            <w:pPr>
              <w:pStyle w:val="ListParagraph"/>
              <w:numPr>
                <w:ilvl w:val="0"/>
                <w:numId w:val="1"/>
              </w:numPr>
              <w:spacing w:before="0" w:after="60"/>
              <w:rPr/>
            </w:pPr>
            <w:r>
              <w:rPr>
                <w:rFonts w:eastAsia="Arial" w:cs="Arial"/>
                <w:sz w:val="20"/>
                <w:szCs w:val="20"/>
              </w:rPr>
              <w:t>Integrasi NWP untuk prediksi cuaca lebih akurat</w:t>
            </w:r>
          </w:p>
          <w:p>
            <w:pPr>
              <w:pStyle w:val="ListParagraph"/>
              <w:numPr>
                <w:ilvl w:val="0"/>
                <w:numId w:val="1"/>
              </w:numPr>
              <w:spacing w:before="0" w:after="0"/>
              <w:rPr/>
            </w:pPr>
            <w:r>
              <w:rPr>
                <w:rFonts w:eastAsia="Arial" w:cs="Arial"/>
                <w:sz w:val="20"/>
                <w:szCs w:val="20"/>
              </w:rPr>
              <w:t>Evaluasi GHGSat untuk resolusi facility-level</w:t>
            </w:r>
          </w:p>
        </w:tc>
        <w:tc>
          <w:tcPr>
            <w:tcW w:w="3001" w:type="dxa"/>
            <w:tcBorders>
              <w:top w:val="single" w:sz="4" w:space="0" w:color="B8CCE4"/>
              <w:start w:val="single" w:sz="4" w:space="0" w:color="B8CCE4"/>
              <w:bottom w:val="single" w:sz="4" w:space="0" w:color="B8CCE4"/>
              <w:end w:val="single" w:sz="4" w:space="0" w:color="B8CCE4"/>
            </w:tcBorders>
            <w:shd w:fill="F2F2F2" w:val="clear"/>
          </w:tcPr>
          <w:p>
            <w:pPr>
              <w:pStyle w:val="Normal"/>
              <w:spacing w:before="0" w:after="0"/>
              <w:jc w:val="start"/>
              <w:rPr/>
            </w:pPr>
            <w:r>
              <w:rPr>
                <w:rFonts w:eastAsia="Arial" w:cs="Arial"/>
                <w:b w:val="false"/>
                <w:bCs w:val="false"/>
                <w:color w:val="000000"/>
                <w:sz w:val="20"/>
                <w:szCs w:val="20"/>
              </w:rPr>
              <w:t>Platform skala penuh dengan ML dan multi-sumber data</w:t>
            </w:r>
          </w:p>
        </w:tc>
      </w:tr>
    </w:tbl>
    <w:p>
      <w:pPr>
        <w:pStyle w:val="Heading1"/>
        <w:pBdr>
          <w:bottom w:val="single" w:sz="8" w:space="2" w:color="2E75B6"/>
        </w:pBdr>
        <w:spacing w:before="400" w:after="200"/>
        <w:rPr/>
      </w:pPr>
      <w:r>
        <w:rPr>
          <w:rFonts w:eastAsia="Arial" w:cs="Arial" w:ascii="Arial" w:hAnsi="Arial"/>
          <w:b/>
          <w:bCs/>
          <w:color w:val="1F3864"/>
          <w:sz w:val="30"/>
          <w:szCs w:val="30"/>
        </w:rPr>
        <w:t>9. Transparansi: Keterbatasan Teknis Sistem</w:t>
      </w:r>
    </w:p>
    <w:p>
      <w:pPr>
        <w:pStyle w:val="Normal"/>
        <w:spacing w:before="0" w:after="160"/>
        <w:rPr/>
      </w:pPr>
      <w:r>
        <w:rPr>
          <w:rFonts w:eastAsia="Arial" w:cs="Arial"/>
          <w:sz w:val="22"/>
          <w:szCs w:val="22"/>
        </w:rPr>
        <w:t>Sebagai bagian dari proposal yang kredibel, berikut keterbatasan yang perlu dipahami bersama. Keterbatasan ini mendefinisikan secara tepat use case yang sesuai, bukan mengurangi nilai sistem.</w:t>
      </w:r>
    </w:p>
    <w:p>
      <w:pPr>
        <w:pStyle w:val="Normal"/>
        <w:spacing w:before="0" w:after="80"/>
        <w:rPr/>
      </w:pPr>
      <w:r>
        <w:rPr/>
      </w:r>
    </w:p>
    <w:tbl>
      <w:tblPr>
        <w:tblW w:w="9638" w:type="dxa"/>
        <w:jc w:val="start"/>
        <w:tblInd w:w="0" w:type="dxa"/>
        <w:tblLayout w:type="fixed"/>
        <w:tblCellMar>
          <w:top w:w="100" w:type="dxa"/>
          <w:start w:w="140" w:type="dxa"/>
          <w:bottom w:w="100" w:type="dxa"/>
          <w:end w:w="140" w:type="dxa"/>
        </w:tblCellMar>
      </w:tblPr>
      <w:tblGrid>
        <w:gridCol w:w="1999"/>
        <w:gridCol w:w="3239"/>
        <w:gridCol w:w="4400"/>
      </w:tblGrid>
      <w:tr>
        <w:trPr>
          <w:tblHeader w:val="true"/>
        </w:trPr>
        <w:tc>
          <w:tcPr>
            <w:tcW w:w="199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Keterbatasan</w:t>
            </w:r>
          </w:p>
        </w:tc>
        <w:tc>
          <w:tcPr>
            <w:tcW w:w="323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Penjelasan</w:t>
            </w:r>
          </w:p>
        </w:tc>
        <w:tc>
          <w:tcPr>
            <w:tcW w:w="4400"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Mitigasi &amp; Konteks</w:t>
            </w:r>
          </w:p>
        </w:tc>
      </w:tr>
      <w:tr>
        <w:trPr/>
        <w:tc>
          <w:tcPr>
            <w:tcW w:w="1999"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start"/>
              <w:rPr/>
            </w:pPr>
            <w:r>
              <w:rPr>
                <w:rFonts w:eastAsia="Arial" w:cs="Arial"/>
                <w:b/>
                <w:bCs/>
                <w:color w:val="000000"/>
                <w:sz w:val="20"/>
                <w:szCs w:val="20"/>
              </w:rPr>
              <w:t>Resolusi Spasial</w:t>
            </w:r>
          </w:p>
        </w:tc>
        <w:tc>
          <w:tcPr>
            <w:tcW w:w="3239"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start"/>
              <w:rPr/>
            </w:pPr>
            <w:r>
              <w:rPr>
                <w:rFonts w:eastAsia="Arial" w:cs="Arial"/>
                <w:b w:val="false"/>
                <w:bCs w:val="false"/>
                <w:color w:val="000000"/>
                <w:sz w:val="20"/>
                <w:szCs w:val="20"/>
              </w:rPr>
              <w:t>TROPOMI memiliki resolusi ~7.5 km per piksel. Tidak dapat menentukan titik kebocoran level valve atau pipa individual.</w:t>
            </w:r>
          </w:p>
        </w:tc>
        <w:tc>
          <w:tcPr>
            <w:tcW w:w="4400" w:type="dxa"/>
            <w:tcBorders>
              <w:top w:val="single" w:sz="4" w:space="0" w:color="B8CCE4"/>
              <w:start w:val="single" w:sz="4" w:space="0" w:color="B8CCE4"/>
              <w:bottom w:val="single" w:sz="4" w:space="0" w:color="B8CCE4"/>
              <w:end w:val="single" w:sz="4" w:space="0" w:color="B8CCE4"/>
            </w:tcBorders>
            <w:shd w:fill="FFF2CC" w:val="clear"/>
          </w:tcPr>
          <w:p>
            <w:pPr>
              <w:pStyle w:val="Normal"/>
              <w:spacing w:before="0" w:after="0"/>
              <w:jc w:val="start"/>
              <w:rPr/>
            </w:pPr>
            <w:r>
              <w:rPr>
                <w:rFonts w:eastAsia="Arial" w:cs="Arial"/>
                <w:b w:val="false"/>
                <w:bCs w:val="false"/>
                <w:color w:val="000000"/>
                <w:sz w:val="20"/>
                <w:szCs w:val="20"/>
              </w:rPr>
              <w:t>Sistem sebagai early warning area — mengarahkan tim lapangan ke zona prioritas untuk inspeksi sensor fisik. Bukan pengganti detektor gas lokal.</w:t>
            </w:r>
          </w:p>
        </w:tc>
      </w:tr>
      <w:tr>
        <w:trPr/>
        <w:tc>
          <w:tcPr>
            <w:tcW w:w="199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bCs/>
                <w:color w:val="000000"/>
                <w:sz w:val="20"/>
                <w:szCs w:val="20"/>
              </w:rPr>
              <w:t>Delay Data</w:t>
            </w:r>
          </w:p>
        </w:tc>
        <w:tc>
          <w:tcPr>
            <w:tcW w:w="323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Data tersedia 3–6 jam setelah satellite pass. Bukan sensor real-time instan.</w:t>
            </w:r>
          </w:p>
        </w:tc>
        <w:tc>
          <w:tcPr>
            <w:tcW w:w="4400"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Dikomunikasikan sebagai periodik monitoring otomatis — nilai ada pada deteksi tren dan anomali berhari-hari, bukan insiden menit-ke-menit.</w:t>
            </w:r>
          </w:p>
        </w:tc>
      </w:tr>
      <w:tr>
        <w:trPr/>
        <w:tc>
          <w:tcPr>
            <w:tcW w:w="199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Tutupan Awan</w:t>
            </w:r>
          </w:p>
        </w:tc>
        <w:tc>
          <w:tcPr>
            <w:tcW w:w="323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Awan tebal menghalangi pembacaan spektral. Indonesia tropis — estimasi hari valid ~50–70% per bulan, lebih rendah di musim hujan.</w:t>
            </w:r>
          </w:p>
        </w:tc>
        <w:tc>
          <w:tcPr>
            <w:tcW w:w="440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Alert hanya dikirim saat data berkualitas tersedia. Dashboard menampilkan status 'No Data' dengan penjelasan eksplisit.</w:t>
            </w:r>
          </w:p>
        </w:tc>
      </w:tr>
      <w:tr>
        <w:trPr/>
        <w:tc>
          <w:tcPr>
            <w:tcW w:w="199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bCs/>
                <w:color w:val="000000"/>
                <w:sz w:val="20"/>
                <w:szCs w:val="20"/>
              </w:rPr>
              <w:t>False Positive</w:t>
            </w:r>
          </w:p>
        </w:tc>
        <w:tc>
          <w:tcPr>
            <w:tcW w:w="3239"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Variasi atmosferik alami, kebakaran hutan, dan emisi rawa dapat memicu deteksi anomali yang bukan dari kebocoran industri.</w:t>
            </w:r>
          </w:p>
        </w:tc>
        <w:tc>
          <w:tcPr>
            <w:tcW w:w="4400" w:type="dxa"/>
            <w:tcBorders>
              <w:top w:val="single" w:sz="4" w:space="0" w:color="B8CCE4"/>
              <w:start w:val="single" w:sz="4" w:space="0" w:color="B8CCE4"/>
              <w:bottom w:val="single" w:sz="4" w:space="0" w:color="B8CCE4"/>
              <w:end w:val="single" w:sz="4" w:space="0" w:color="B8CCE4"/>
            </w:tcBorders>
            <w:shd w:fill="FFFFFF" w:val="clear"/>
          </w:tcPr>
          <w:p>
            <w:pPr>
              <w:pStyle w:val="Normal"/>
              <w:spacing w:before="0" w:after="0"/>
              <w:jc w:val="start"/>
              <w:rPr/>
            </w:pPr>
            <w:r>
              <w:rPr>
                <w:rFonts w:eastAsia="Arial" w:cs="Arial"/>
                <w:b w:val="false"/>
                <w:bCs w:val="false"/>
                <w:color w:val="000000"/>
                <w:sz w:val="20"/>
                <w:szCs w:val="20"/>
              </w:rPr>
              <w:t>Confidence score di setiap alert. Threshold dikalibrasi per karakteristik lokal site. Operator lapangan selalu jadi decision-maker.</w:t>
            </w:r>
          </w:p>
        </w:tc>
      </w:tr>
      <w:tr>
        <w:trPr/>
        <w:tc>
          <w:tcPr>
            <w:tcW w:w="199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Kenaikan Background</w:t>
            </w:r>
          </w:p>
        </w:tc>
        <w:tc>
          <w:tcPr>
            <w:tcW w:w="323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Konsentrasi metana atmosfer global naik ~10 ppb per tahun. Baseline yang tidak di-refresh akan menghasilkan false positive yang terus meningkat.</w:t>
            </w:r>
          </w:p>
        </w:tc>
        <w:tc>
          <w:tcPr>
            <w:tcW w:w="4400"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Sistem menggunakan rolling baseline 60 hari yang diperbarui otomatis. Kalibrasi tahunan menyeluruh direkomendasikan sebagai maintenance rutin.</w:t>
            </w:r>
          </w:p>
        </w:tc>
      </w:tr>
    </w:tbl>
    <w:p>
      <w:pPr>
        <w:pStyle w:val="Normal"/>
        <w:spacing w:before="0" w:after="0"/>
        <w:rPr/>
      </w:pPr>
      <w:r>
        <w:rPr/>
      </w:r>
      <w:r>
        <w:br w:type="page"/>
      </w:r>
    </w:p>
    <w:p>
      <w:pPr>
        <w:pStyle w:val="Heading1"/>
        <w:pBdr>
          <w:bottom w:val="single" w:sz="8" w:space="2" w:color="2E75B6"/>
        </w:pBdr>
        <w:spacing w:before="0" w:after="200"/>
        <w:rPr/>
      </w:pPr>
      <w:r>
        <w:rPr>
          <w:rFonts w:eastAsia="Arial" w:cs="Arial" w:ascii="Arial" w:hAnsi="Arial"/>
          <w:b/>
          <w:bCs/>
          <w:color w:val="1F3864"/>
          <w:sz w:val="30"/>
          <w:szCs w:val="30"/>
        </w:rPr>
        <w:t>10. Langkah Selanjutnya: Sesi Discovery</w:t>
      </w:r>
    </w:p>
    <w:p>
      <w:pPr>
        <w:pStyle w:val="Normal"/>
        <w:spacing w:before="0" w:after="160"/>
        <w:rPr/>
      </w:pPr>
      <w:r>
        <w:rPr>
          <w:rFonts w:eastAsia="Arial" w:cs="Arial"/>
          <w:sz w:val="22"/>
          <w:szCs w:val="22"/>
        </w:rPr>
        <w:t>Proposal ini disusun berdasarkan pemahaman umum industri O&amp;G. Beberapa keputusan teknis kritis — koordinat AOI, integrasi sistem existing, format pelaporan compliance, dan threshold level bahaya — hanya dapat difinalisasi dengan input langsung dari tim klien.</w:t>
      </w:r>
    </w:p>
    <w:p>
      <w:pPr>
        <w:pStyle w:val="Normal"/>
        <w:spacing w:before="0" w:after="80"/>
        <w:rPr/>
      </w:pPr>
      <w:r>
        <w:rPr/>
      </w:r>
    </w:p>
    <w:tbl>
      <w:tblPr>
        <w:tblW w:w="9638" w:type="dxa"/>
        <w:jc w:val="start"/>
        <w:tblInd w:w="0" w:type="dxa"/>
        <w:tblLayout w:type="fixed"/>
        <w:tblCellMar>
          <w:top w:w="140" w:type="dxa"/>
          <w:start w:w="240" w:type="dxa"/>
          <w:bottom w:w="140" w:type="dxa"/>
          <w:end w:w="160" w:type="dxa"/>
        </w:tblCellMar>
      </w:tblPr>
      <w:tblGrid>
        <w:gridCol w:w="9638"/>
      </w:tblGrid>
      <w:tr>
        <w:trPr/>
        <w:tc>
          <w:tcPr>
            <w:tcW w:w="9638" w:type="dxa"/>
            <w:tcBorders>
              <w:start w:val="single" w:sz="24" w:space="0" w:color="2E75B6"/>
            </w:tcBorders>
            <w:shd w:fill="D9E2F3" w:val="clear"/>
          </w:tcPr>
          <w:p>
            <w:pPr>
              <w:pStyle w:val="Normal"/>
              <w:spacing w:before="0" w:after="100"/>
              <w:rPr/>
            </w:pPr>
            <w:r>
              <w:rPr>
                <w:rFonts w:eastAsia="Arial" w:cs="Arial"/>
                <w:b/>
                <w:bCs/>
                <w:color w:val="1F3864"/>
                <w:sz w:val="22"/>
                <w:szCs w:val="22"/>
              </w:rPr>
              <w:t>Mengapa Discovery Session Diperlukan</w:t>
            </w:r>
          </w:p>
          <w:p>
            <w:pPr>
              <w:pStyle w:val="Normal"/>
              <w:spacing w:before="0" w:after="0"/>
              <w:rPr/>
            </w:pPr>
            <w:r>
              <w:rPr>
                <w:rFonts w:eastAsia="Arial" w:cs="Arial"/>
                <w:sz w:val="22"/>
                <w:szCs w:val="22"/>
              </w:rPr>
              <w:t>CRI mengusulkan sesi teknis 2–3 jam sebagai langkah pertama sebelum proposal eksekusi diberikan. Output: scope yang terdefinisi, koordinat AOI yang dikonfirmasi, dan timeline yang realistis berdasarkan kebutuhan aktual — bukan asumsi.</w:t>
            </w:r>
          </w:p>
        </w:tc>
      </w:tr>
    </w:tbl>
    <w:p>
      <w:pPr>
        <w:pStyle w:val="Normal"/>
        <w:spacing w:before="0" w:after="160"/>
        <w:rPr/>
      </w:pPr>
      <w:r>
        <w:rPr/>
      </w:r>
    </w:p>
    <w:p>
      <w:pPr>
        <w:pStyle w:val="Heading2"/>
        <w:spacing w:before="280" w:after="120"/>
        <w:rPr/>
      </w:pPr>
      <w:r>
        <w:rPr>
          <w:rFonts w:eastAsia="Arial" w:cs="Arial" w:ascii="Arial" w:hAnsi="Arial"/>
          <w:b/>
          <w:bCs/>
          <w:color w:val="1F3864"/>
          <w:sz w:val="24"/>
          <w:szCs w:val="24"/>
        </w:rPr>
        <w:t>Agenda Sesi Discovery</w:t>
      </w:r>
    </w:p>
    <w:tbl>
      <w:tblPr>
        <w:tblW w:w="9638" w:type="dxa"/>
        <w:jc w:val="start"/>
        <w:tblInd w:w="0" w:type="dxa"/>
        <w:tblLayout w:type="fixed"/>
        <w:tblCellMar>
          <w:top w:w="100" w:type="dxa"/>
          <w:start w:w="140" w:type="dxa"/>
          <w:bottom w:w="100" w:type="dxa"/>
          <w:end w:w="140" w:type="dxa"/>
        </w:tblCellMar>
      </w:tblPr>
      <w:tblGrid>
        <w:gridCol w:w="2799"/>
        <w:gridCol w:w="6839"/>
      </w:tblGrid>
      <w:tr>
        <w:trPr>
          <w:tblHeader w:val="true"/>
        </w:trPr>
        <w:tc>
          <w:tcPr>
            <w:tcW w:w="279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Topik</w:t>
            </w:r>
          </w:p>
        </w:tc>
        <w:tc>
          <w:tcPr>
            <w:tcW w:w="6839" w:type="dxa"/>
            <w:tcBorders>
              <w:top w:val="single" w:sz="4" w:space="0" w:color="1F3864"/>
              <w:start w:val="single" w:sz="4" w:space="0" w:color="1F3864"/>
              <w:bottom w:val="single" w:sz="4" w:space="0" w:color="1F3864"/>
              <w:end w:val="single" w:sz="4" w:space="0" w:color="1F3864"/>
            </w:tcBorders>
            <w:shd w:fill="1F3864" w:val="clear"/>
            <w:vAlign w:val="center"/>
          </w:tcPr>
          <w:p>
            <w:pPr>
              <w:pStyle w:val="Normal"/>
              <w:spacing w:before="0" w:after="0"/>
              <w:jc w:val="center"/>
              <w:rPr/>
            </w:pPr>
            <w:r>
              <w:rPr>
                <w:rFonts w:eastAsia="Arial" w:cs="Arial"/>
                <w:b/>
                <w:bCs/>
                <w:color w:val="FFFFFF"/>
                <w:sz w:val="20"/>
                <w:szCs w:val="20"/>
              </w:rPr>
              <w:t>Pertanyaan Kunci</w:t>
            </w:r>
          </w:p>
        </w:tc>
      </w:tr>
      <w:tr>
        <w:trPr/>
        <w:tc>
          <w:tcPr>
            <w:tcW w:w="279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bCs/>
                <w:color w:val="000000"/>
                <w:sz w:val="20"/>
                <w:szCs w:val="20"/>
              </w:rPr>
              <w:t>Scope &amp; Prioritas</w:t>
            </w:r>
          </w:p>
        </w:tc>
        <w:tc>
          <w:tcPr>
            <w:tcW w:w="683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Berapa site yang diprioritaskan di fase pertama? Apa koordinat batas (AOI) masing-masing? Apakah ada site offshore?</w:t>
            </w:r>
          </w:p>
        </w:tc>
      </w:tr>
      <w:tr>
        <w:trPr/>
        <w:tc>
          <w:tcPr>
            <w:tcW w:w="279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Definisi EWS</w:t>
            </w:r>
          </w:p>
        </w:tc>
        <w:tc>
          <w:tcPr>
            <w:tcW w:w="683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EWS yang dimaksud lebih ke strategic trend monitoring atau ada ekspektasi alert akut? Use case prioritas tim lapangan?</w:t>
            </w:r>
          </w:p>
        </w:tc>
      </w:tr>
      <w:tr>
        <w:trPr/>
        <w:tc>
          <w:tcPr>
            <w:tcW w:w="279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bCs/>
                <w:color w:val="000000"/>
                <w:sz w:val="20"/>
                <w:szCs w:val="20"/>
              </w:rPr>
              <w:t>Integrasi Sistem</w:t>
            </w:r>
          </w:p>
        </w:tc>
        <w:tc>
          <w:tcPr>
            <w:tcW w:w="683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Ada sistem HSSE atau GIS existing yang perlu diintegrasikan? Siapa end user: tim lapangan, management, atau keduanya?</w:t>
            </w:r>
          </w:p>
        </w:tc>
      </w:tr>
      <w:tr>
        <w:trPr/>
        <w:tc>
          <w:tcPr>
            <w:tcW w:w="279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Compliance &amp; Pelaporan</w:t>
            </w:r>
          </w:p>
        </w:tc>
        <w:tc>
          <w:tcPr>
            <w:tcW w:w="683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Format laporan yang dipersyaratkan SKK Migas? Ada template pelaporan emisi yang sudah berlaku?</w:t>
            </w:r>
          </w:p>
        </w:tc>
      </w:tr>
      <w:tr>
        <w:trPr/>
        <w:tc>
          <w:tcPr>
            <w:tcW w:w="279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bCs/>
                <w:color w:val="000000"/>
                <w:sz w:val="20"/>
                <w:szCs w:val="20"/>
              </w:rPr>
              <w:t>Infrastruktur &amp; Data</w:t>
            </w:r>
          </w:p>
        </w:tc>
        <w:tc>
          <w:tcPr>
            <w:tcW w:w="6839" w:type="dxa"/>
            <w:tcBorders>
              <w:top w:val="single" w:sz="4" w:space="0" w:color="B8CCE4"/>
              <w:start w:val="single" w:sz="4" w:space="0" w:color="B8CCE4"/>
              <w:bottom w:val="single" w:sz="4" w:space="0" w:color="B8CCE4"/>
              <w:end w:val="single" w:sz="4" w:space="0" w:color="B8CCE4"/>
            </w:tcBorders>
            <w:shd w:fill="D9E2F3" w:val="clear"/>
          </w:tcPr>
          <w:p>
            <w:pPr>
              <w:pStyle w:val="Normal"/>
              <w:spacing w:before="0" w:after="0"/>
              <w:jc w:val="start"/>
              <w:rPr/>
            </w:pPr>
            <w:r>
              <w:rPr>
                <w:rFonts w:eastAsia="Arial" w:cs="Arial"/>
                <w:b w:val="false"/>
                <w:bCs w:val="false"/>
                <w:color w:val="000000"/>
                <w:sz w:val="20"/>
                <w:szCs w:val="20"/>
              </w:rPr>
              <w:t>Server on-premise tersedia? Ada data kejadian historis (insiden, near-miss) untuk validasi sistem?</w:t>
            </w:r>
          </w:p>
        </w:tc>
      </w:tr>
      <w:tr>
        <w:trPr/>
        <w:tc>
          <w:tcPr>
            <w:tcW w:w="279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bCs/>
                <w:color w:val="000000"/>
                <w:sz w:val="20"/>
                <w:szCs w:val="20"/>
              </w:rPr>
              <w:t>Kesiapan Deployment</w:t>
            </w:r>
          </w:p>
        </w:tc>
        <w:tc>
          <w:tcPr>
            <w:tcW w:w="6839" w:type="dxa"/>
            <w:tcBorders>
              <w:top w:val="single" w:sz="4" w:space="0" w:color="B8CCE4"/>
              <w:start w:val="single" w:sz="4" w:space="0" w:color="B8CCE4"/>
              <w:bottom w:val="single" w:sz="4" w:space="0" w:color="B8CCE4"/>
              <w:end w:val="single" w:sz="4" w:space="0" w:color="B8CCE4"/>
            </w:tcBorders>
            <w:shd w:fill="EBF0F8" w:val="clear"/>
          </w:tcPr>
          <w:p>
            <w:pPr>
              <w:pStyle w:val="Normal"/>
              <w:spacing w:before="0" w:after="0"/>
              <w:jc w:val="start"/>
              <w:rPr/>
            </w:pPr>
            <w:r>
              <w:rPr>
                <w:rFonts w:eastAsia="Arial" w:cs="Arial"/>
                <w:b w:val="false"/>
                <w:bCs w:val="false"/>
                <w:color w:val="000000"/>
                <w:sz w:val="20"/>
                <w:szCs w:val="20"/>
              </w:rPr>
              <w:t>Target waktu demo/pilot? Technical point of contact dari sisi klien untuk koordinasi?</w:t>
            </w:r>
          </w:p>
        </w:tc>
      </w:tr>
    </w:tbl>
    <w:p>
      <w:pPr>
        <w:pStyle w:val="Heading1"/>
        <w:pBdr>
          <w:bottom w:val="single" w:sz="8" w:space="2" w:color="2E75B6"/>
        </w:pBdr>
        <w:spacing w:before="400" w:after="200"/>
        <w:rPr/>
      </w:pPr>
      <w:r>
        <w:rPr>
          <w:rFonts w:eastAsia="Arial" w:cs="Arial" w:ascii="Arial" w:hAnsi="Arial"/>
          <w:b/>
          <w:bCs/>
          <w:color w:val="1F3864"/>
          <w:sz w:val="30"/>
          <w:szCs w:val="30"/>
        </w:rPr>
        <w:t>11. Model Kerjasama yang Disarankan</w:t>
      </w:r>
    </w:p>
    <w:p>
      <w:pPr>
        <w:pStyle w:val="Heading2"/>
        <w:spacing w:before="280" w:after="120"/>
        <w:rPr/>
      </w:pPr>
      <w:r>
        <w:rPr>
          <w:rFonts w:eastAsia="Arial" w:cs="Arial" w:ascii="Arial" w:hAnsi="Arial"/>
          <w:b/>
          <w:bCs/>
          <w:color w:val="1F3864"/>
          <w:sz w:val="24"/>
          <w:szCs w:val="24"/>
        </w:rPr>
        <w:t>Opsi A — Project Development (One-time)</w:t>
      </w:r>
    </w:p>
    <w:p>
      <w:pPr>
        <w:pStyle w:val="Normal"/>
        <w:spacing w:before="0" w:after="160"/>
        <w:rPr/>
      </w:pPr>
      <w:r>
        <w:rPr>
          <w:rFonts w:eastAsia="Arial" w:cs="Arial"/>
          <w:sz w:val="22"/>
          <w:szCs w:val="22"/>
        </w:rPr>
        <w:t>CRI membangun platform EWS secara penuh dan menyerahkan source code serta infrastruktur kepada klien. Klien mengelola dan mengoperasikan sistem setelahnya. Cocok jika klien memiliki tim IT internal yang capable.</w:t>
      </w:r>
    </w:p>
    <w:p>
      <w:pPr>
        <w:pStyle w:val="Normal"/>
        <w:spacing w:before="0" w:after="80"/>
        <w:rPr/>
      </w:pPr>
      <w:r>
        <w:rPr/>
      </w:r>
    </w:p>
    <w:p>
      <w:pPr>
        <w:pStyle w:val="Heading2"/>
        <w:spacing w:before="280" w:after="120"/>
        <w:rPr/>
      </w:pPr>
      <w:r>
        <w:rPr>
          <w:rFonts w:eastAsia="Arial" w:cs="Arial" w:ascii="Arial" w:hAnsi="Arial"/>
          <w:b/>
          <w:bCs/>
          <w:color w:val="1F3864"/>
          <w:sz w:val="24"/>
          <w:szCs w:val="24"/>
        </w:rPr>
        <w:t>Opsi B — Managed Service (Direkomendasikan)</w:t>
      </w:r>
    </w:p>
    <w:p>
      <w:pPr>
        <w:pStyle w:val="Normal"/>
        <w:spacing w:before="0" w:after="160"/>
        <w:rPr/>
      </w:pPr>
      <w:r>
        <w:rPr>
          <w:rFonts w:eastAsia="Arial" w:cs="Arial"/>
          <w:sz w:val="22"/>
          <w:szCs w:val="22"/>
        </w:rPr>
        <w:t>CRI membangun dan mengoperasikan platform sebagai layanan berkelanjutan dengan biaya bulanan untuk monitoring aktif, pemeliharaan pipeline data, dan pembaruan model deteksi.</w:t>
      </w:r>
    </w:p>
    <w:p>
      <w:pPr>
        <w:pStyle w:val="Normal"/>
        <w:spacing w:before="0" w:after="80"/>
        <w:rPr/>
      </w:pPr>
      <w:r>
        <w:rPr/>
      </w:r>
    </w:p>
    <w:tbl>
      <w:tblPr>
        <w:tblW w:w="9638" w:type="dxa"/>
        <w:jc w:val="start"/>
        <w:tblInd w:w="0" w:type="dxa"/>
        <w:tblLayout w:type="fixed"/>
        <w:tblCellMar>
          <w:top w:w="140" w:type="dxa"/>
          <w:start w:w="240" w:type="dxa"/>
          <w:bottom w:w="140" w:type="dxa"/>
          <w:end w:w="160" w:type="dxa"/>
        </w:tblCellMar>
      </w:tblPr>
      <w:tblGrid>
        <w:gridCol w:w="9638"/>
      </w:tblGrid>
      <w:tr>
        <w:trPr/>
        <w:tc>
          <w:tcPr>
            <w:tcW w:w="9638" w:type="dxa"/>
            <w:tcBorders>
              <w:start w:val="single" w:sz="24" w:space="0" w:color="2E75B6"/>
            </w:tcBorders>
            <w:shd w:fill="D9E2F3" w:val="clear"/>
          </w:tcPr>
          <w:p>
            <w:pPr>
              <w:pStyle w:val="Normal"/>
              <w:spacing w:before="0" w:after="100"/>
              <w:rPr/>
            </w:pPr>
            <w:r>
              <w:rPr>
                <w:rFonts w:eastAsia="Arial" w:cs="Arial"/>
                <w:b/>
                <w:bCs/>
                <w:color w:val="1F3864"/>
                <w:sz w:val="22"/>
                <w:szCs w:val="22"/>
              </w:rPr>
              <w:t>Mengapa Managed Service Lebih Disarankan</w:t>
            </w:r>
          </w:p>
          <w:p>
            <w:pPr>
              <w:pStyle w:val="ListParagraph"/>
              <w:numPr>
                <w:ilvl w:val="0"/>
                <w:numId w:val="1"/>
              </w:numPr>
              <w:spacing w:before="0" w:after="80"/>
              <w:rPr/>
            </w:pPr>
            <w:r>
              <w:rPr>
                <w:rFonts w:eastAsia="Arial" w:cs="Arial"/>
                <w:sz w:val="22"/>
                <w:szCs w:val="22"/>
              </w:rPr>
              <w:t>Pipeline data satelit membutuhkan maintenance aktif: jadwal orbit berubah, server ESA kadang bermasalah, threshold model perlu dikalibrasi berkala</w:t>
            </w:r>
          </w:p>
          <w:p>
            <w:pPr>
              <w:pStyle w:val="ListParagraph"/>
              <w:numPr>
                <w:ilvl w:val="0"/>
                <w:numId w:val="1"/>
              </w:numPr>
              <w:spacing w:before="0" w:after="80"/>
              <w:rPr/>
            </w:pPr>
            <w:r>
              <w:rPr>
                <w:rFonts w:eastAsia="Arial" w:cs="Arial"/>
                <w:sz w:val="22"/>
                <w:szCs w:val="22"/>
              </w:rPr>
              <w:t>Klien mendapatkan jaminan ketersediaan layanan tanpa perlu membangun kapasitas teknis internal yang sangat spesifik</w:t>
            </w:r>
          </w:p>
          <w:p>
            <w:pPr>
              <w:pStyle w:val="ListParagraph"/>
              <w:numPr>
                <w:ilvl w:val="0"/>
                <w:numId w:val="1"/>
              </w:numPr>
              <w:spacing w:before="0" w:after="80"/>
              <w:rPr/>
            </w:pPr>
            <w:r>
              <w:rPr>
                <w:rFonts w:eastAsia="Arial" w:cs="Arial"/>
                <w:sz w:val="22"/>
                <w:szCs w:val="22"/>
              </w:rPr>
              <w:t>CRI mengakumulasi pengetahuan dan data yang terus meningkatkan kualitas model deteksi dari waktu ke waktu</w:t>
            </w:r>
          </w:p>
          <w:p>
            <w:pPr>
              <w:pStyle w:val="ListParagraph"/>
              <w:numPr>
                <w:ilvl w:val="0"/>
                <w:numId w:val="1"/>
              </w:numPr>
              <w:spacing w:before="0" w:after="0"/>
              <w:rPr/>
            </w:pPr>
            <w:r>
              <w:rPr>
                <w:rFonts w:eastAsia="Arial" w:cs="Arial"/>
                <w:sz w:val="22"/>
                <w:szCs w:val="22"/>
              </w:rPr>
              <w:t>Lebih mudah di-scale ke site atau klien lain tanpa duplikasi effort pembangunan infrastruktur</w:t>
            </w:r>
          </w:p>
        </w:tc>
      </w:tr>
    </w:tbl>
    <w:p>
      <w:pPr>
        <w:pStyle w:val="Normal"/>
        <w:spacing w:before="0" w:after="240"/>
        <w:rPr/>
      </w:pPr>
      <w:r>
        <w:rPr/>
      </w:r>
    </w:p>
    <w:p>
      <w:pPr>
        <w:pStyle w:val="Normal"/>
        <w:spacing w:before="0" w:after="100"/>
        <w:jc w:val="center"/>
        <w:rPr/>
      </w:pPr>
      <w:r>
        <w:rPr>
          <w:rFonts w:eastAsia="Arial" w:cs="Arial"/>
          <w:i/>
          <w:iCs/>
          <w:color w:val="888888"/>
          <w:sz w:val="20"/>
          <w:szCs w:val="20"/>
        </w:rPr>
        <w:t xml:space="preserve">— </w:t>
      </w:r>
      <w:r>
        <w:rPr>
          <w:rFonts w:eastAsia="Arial" w:cs="Arial"/>
          <w:i/>
          <w:iCs/>
          <w:color w:val="888888"/>
          <w:sz w:val="20"/>
          <w:szCs w:val="20"/>
        </w:rPr>
        <w:t>Dokumen ini bersifat konfidensial —</w:t>
      </w:r>
    </w:p>
    <w:p>
      <w:pPr>
        <w:pStyle w:val="Normal"/>
        <w:spacing w:before="0" w:after="0"/>
        <w:jc w:val="center"/>
        <w:rPr/>
      </w:pPr>
      <w:r>
        <w:rPr>
          <w:rFonts w:eastAsia="Arial" w:cs="Arial"/>
          <w:b/>
          <w:bCs/>
          <w:color w:val="1F3864"/>
          <w:sz w:val="22"/>
          <w:szCs w:val="22"/>
        </w:rPr>
        <w:t>PT Cliste Rekayasa Indonesia</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9E2F3"/>
      </w:pBdr>
      <w:spacing w:before="60" w:after="0"/>
      <w:jc w:val="end"/>
      <w:rPr/>
    </w:pPr>
    <w:r>
      <w:rPr>
        <w:rFonts w:eastAsia="Arial" w:cs="Arial"/>
        <w:color w:val="888888"/>
        <w:sz w:val="18"/>
        <w:szCs w:val="18"/>
      </w:rPr>
      <w:t xml:space="preserve">Konfidensial — PT Cliste Rekayasa Indonesia  |  Hal. </w:t>
    </w:r>
    <w:r>
      <w:rPr>
        <w:rFonts w:eastAsia="Arial" w:cs="Arial"/>
        <w:b/>
        <w:bCs/>
        <w:color w:val="1F3864"/>
        <w:sz w:val="22"/>
        <w:szCs w:val="22"/>
      </w:rPr>
      <w:fldChar w:fldCharType="begin"/>
    </w:r>
    <w:r>
      <w:rPr>
        <w:rFonts w:eastAsia="Arial" w:cs="Arial"/>
        <w:b/>
        <w:bCs/>
        <w:color w:val="1F3864"/>
        <w:sz w:val="22"/>
        <w:szCs w:val="22"/>
      </w:rPr>
      <w:instrText xml:space="preserve"> PAGE </w:instrText>
    </w:r>
    <w:r>
      <w:rPr>
        <w:rFonts w:eastAsia="Arial" w:cs="Arial"/>
        <w:b/>
        <w:bCs/>
        <w:color w:val="1F3864"/>
        <w:sz w:val="22"/>
        <w:szCs w:val="22"/>
      </w:rPr>
      <w:fldChar w:fldCharType="separate"/>
    </w:r>
    <w:r>
      <w:rPr>
        <w:rFonts w:eastAsia="Arial" w:cs="Arial"/>
        <w:b/>
        <w:bCs/>
        <w:color w:val="1F3864"/>
        <w:sz w:val="22"/>
        <w:szCs w:val="22"/>
      </w:rPr>
      <w:t>15</w:t>
    </w:r>
    <w:r>
      <w:rPr>
        <w:rFonts w:eastAsia="Arial" w:cs="Arial"/>
        <w:b/>
        <w:bCs/>
        <w:color w:val="1F3864"/>
        <w:sz w:val="22"/>
        <w:szCs w:val="22"/>
      </w:rPr>
      <w:fldChar w:fldCharType="end"/>
    </w:r>
    <w:r>
      <w:rPr>
        <w:rFonts w:eastAsia="Arial" w:cs="Arial"/>
        <w:color w:val="888888"/>
        <w:sz w:val="18"/>
        <w:szCs w:val="18"/>
      </w:rPr>
      <w:t xml:space="preserve"> dari </w:t>
    </w:r>
    <w:r>
      <w:rPr>
        <w:rFonts w:eastAsia="Arial" w:cs="Arial"/>
        <w:b/>
        <w:bCs/>
        <w:color w:val="1F3864"/>
        <w:sz w:val="22"/>
        <w:szCs w:val="22"/>
      </w:rPr>
      <w:fldChar w:fldCharType="begin"/>
    </w:r>
    <w:r>
      <w:rPr>
        <w:rFonts w:eastAsia="Arial" w:cs="Arial"/>
        <w:b/>
        <w:bCs/>
        <w:color w:val="1F3864"/>
        <w:sz w:val="22"/>
        <w:szCs w:val="22"/>
      </w:rPr>
      <w:instrText xml:space="preserve"> NUMPAGES </w:instrText>
    </w:r>
    <w:r>
      <w:rPr>
        <w:rFonts w:eastAsia="Arial" w:cs="Arial"/>
        <w:b/>
        <w:bCs/>
        <w:color w:val="1F3864"/>
        <w:sz w:val="22"/>
        <w:szCs w:val="22"/>
      </w:rPr>
      <w:fldChar w:fldCharType="separate"/>
    </w:r>
    <w:r>
      <w:rPr>
        <w:rFonts w:eastAsia="Arial" w:cs="Arial"/>
        <w:b/>
        <w:bCs/>
        <w:color w:val="1F3864"/>
        <w:sz w:val="22"/>
        <w:szCs w:val="22"/>
      </w:rPr>
      <w:t>15</w:t>
    </w:r>
    <w:r>
      <w:rPr>
        <w:rFonts w:eastAsia="Arial" w:cs="Arial"/>
        <w:b/>
        <w:bCs/>
        <w:color w:val="1F3864"/>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9E2F3"/>
      </w:pBdr>
      <w:spacing w:before="60" w:after="0"/>
      <w:jc w:val="end"/>
      <w:rPr/>
    </w:pPr>
    <w:r>
      <w:rPr>
        <w:rFonts w:eastAsia="Arial" w:cs="Arial"/>
        <w:color w:val="888888"/>
        <w:sz w:val="18"/>
        <w:szCs w:val="18"/>
      </w:rPr>
      <w:t xml:space="preserve">Konfidensial — PT Cliste Rekayasa Indonesia  |  Hal. </w:t>
    </w:r>
    <w:r>
      <w:rPr>
        <w:rFonts w:eastAsia="Arial" w:cs="Arial"/>
        <w:b/>
        <w:bCs/>
        <w:color w:val="1F3864"/>
        <w:sz w:val="22"/>
        <w:szCs w:val="22"/>
      </w:rPr>
      <w:fldChar w:fldCharType="begin"/>
    </w:r>
    <w:r>
      <w:rPr>
        <w:rFonts w:eastAsia="Arial" w:cs="Arial"/>
        <w:b/>
        <w:bCs/>
        <w:color w:val="1F3864"/>
        <w:sz w:val="22"/>
        <w:szCs w:val="22"/>
      </w:rPr>
      <w:instrText xml:space="preserve"> PAGE </w:instrText>
    </w:r>
    <w:r>
      <w:rPr>
        <w:rFonts w:eastAsia="Arial" w:cs="Arial"/>
        <w:b/>
        <w:bCs/>
        <w:color w:val="1F3864"/>
        <w:sz w:val="22"/>
        <w:szCs w:val="22"/>
      </w:rPr>
      <w:fldChar w:fldCharType="separate"/>
    </w:r>
    <w:r>
      <w:rPr>
        <w:rFonts w:eastAsia="Arial" w:cs="Arial"/>
        <w:b/>
        <w:bCs/>
        <w:color w:val="1F3864"/>
        <w:sz w:val="22"/>
        <w:szCs w:val="22"/>
      </w:rPr>
      <w:t>15</w:t>
    </w:r>
    <w:r>
      <w:rPr>
        <w:rFonts w:eastAsia="Arial" w:cs="Arial"/>
        <w:b/>
        <w:bCs/>
        <w:color w:val="1F3864"/>
        <w:sz w:val="22"/>
        <w:szCs w:val="22"/>
      </w:rPr>
      <w:fldChar w:fldCharType="end"/>
    </w:r>
    <w:r>
      <w:rPr>
        <w:rFonts w:eastAsia="Arial" w:cs="Arial"/>
        <w:color w:val="888888"/>
        <w:sz w:val="18"/>
        <w:szCs w:val="18"/>
      </w:rPr>
      <w:t xml:space="preserve"> dari </w:t>
    </w:r>
    <w:r>
      <w:rPr>
        <w:rFonts w:eastAsia="Arial" w:cs="Arial"/>
        <w:b/>
        <w:bCs/>
        <w:color w:val="1F3864"/>
        <w:sz w:val="22"/>
        <w:szCs w:val="22"/>
      </w:rPr>
      <w:fldChar w:fldCharType="begin"/>
    </w:r>
    <w:r>
      <w:rPr>
        <w:rFonts w:eastAsia="Arial" w:cs="Arial"/>
        <w:b/>
        <w:bCs/>
        <w:color w:val="1F3864"/>
        <w:sz w:val="22"/>
        <w:szCs w:val="22"/>
      </w:rPr>
      <w:instrText xml:space="preserve"> NUMPAGES </w:instrText>
    </w:r>
    <w:r>
      <w:rPr>
        <w:rFonts w:eastAsia="Arial" w:cs="Arial"/>
        <w:b/>
        <w:bCs/>
        <w:color w:val="1F3864"/>
        <w:sz w:val="22"/>
        <w:szCs w:val="22"/>
      </w:rPr>
      <w:fldChar w:fldCharType="separate"/>
    </w:r>
    <w:r>
      <w:rPr>
        <w:rFonts w:eastAsia="Arial" w:cs="Arial"/>
        <w:b/>
        <w:bCs/>
        <w:color w:val="1F3864"/>
        <w:sz w:val="22"/>
        <w:szCs w:val="22"/>
      </w:rPr>
      <w:t>15</w:t>
    </w:r>
    <w:r>
      <w:rPr>
        <w:rFonts w:eastAsia="Arial" w:cs="Arial"/>
        <w:b/>
        <w:bCs/>
        <w:color w:val="1F3864"/>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D9E2F3"/>
      </w:pBdr>
      <w:spacing w:before="0" w:after="0"/>
      <w:rPr/>
    </w:pPr>
    <w:r>
      <w:rPr>
        <w:rFonts w:eastAsia="Arial" w:cs="Arial"/>
        <w:color w:val="888888"/>
        <w:sz w:val="18"/>
        <w:szCs w:val="18"/>
      </w:rPr>
      <w:t>Sistem EWS HSSE Berbasis Satelit  |  PT Cliste Rekayasa Indonesia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D9E2F3"/>
      </w:pBdr>
      <w:spacing w:before="0" w:after="0"/>
      <w:rPr/>
    </w:pPr>
    <w:r>
      <w:rPr>
        <w:rFonts w:eastAsia="Arial" w:cs="Arial"/>
        <w:color w:val="888888"/>
        <w:sz w:val="18"/>
        <w:szCs w:val="18"/>
      </w:rPr>
      <w:t>Sistem EWS HSSE Berbasis Satelit  |  PT Cliste Rekayasa Indonesia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sz w:val="22"/>
        <w:szCs w:val="22"/>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3864"/>
      <w:sz w:val="30"/>
      <w:szCs w:val="30"/>
    </w:rPr>
  </w:style>
  <w:style w:type="paragraph" w:styleId="Heading2">
    <w:name w:val="heading 2"/>
    <w:basedOn w:val="Heading"/>
    <w:qFormat/>
    <w:pPr>
      <w:spacing w:before="280" w:after="120"/>
      <w:outlineLvl w:val="1"/>
    </w:pPr>
    <w:rPr>
      <w:rFonts w:ascii="Arial" w:hAnsi="Arial" w:eastAsia="Arial" w:cs="Arial"/>
      <w:b/>
      <w:bCs/>
      <w:color w:val="1F3864"/>
      <w:sz w:val="24"/>
      <w:szCs w:val="24"/>
    </w:rPr>
  </w:style>
  <w:style w:type="paragraph" w:styleId="Heading3">
    <w:name w:val="heading 3"/>
    <w:basedOn w:val="Heading"/>
    <w:qFormat/>
    <w:pPr>
      <w:spacing w:before="180" w:after="80"/>
      <w:outlineLvl w:val="2"/>
    </w:pPr>
    <w:rPr>
      <w:rFonts w:ascii="Arial" w:hAnsi="Arial" w:eastAsia="Arial" w:cs="Arial"/>
      <w:b/>
      <w:bCs/>
      <w:color w:val="2E75B6"/>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ages>9</Pages>
  <Words>2790</Words>
  <Characters>17327</Characters>
  <CharactersWithSpaces>19739</CharactersWithSpaces>
  <Paragraphs>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2026-06-11T12:24:02Z</dcterms:created>
  <dc:creator>Un-named</dc:creator>
  <dc:description/>
  <dc:language>en-US</dc:language>
  <cp:lastModifiedBy>Un-named</cp:lastModifiedBy>
  <dcterms:modified xsi:type="dcterms:W3CDTF">2026-06-11T12:24:02Z</dcterms:modified>
  <cp:revision>1</cp:revision>
  <dc:subject/>
  <dc:title/>
</cp:coreProperties>
</file>