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56"/>
        </w:rPr>
        <w:t>Scope of Work</w:t>
      </w:r>
    </w:p>
    <w:p>
      <w:pPr>
        <w:jc w:val="center"/>
      </w:pPr>
      <w:r>
        <w:rPr>
          <w:color w:val="4A5568"/>
          <w:sz w:val="28"/>
        </w:rPr>
        <w:t>Online Training Portal &amp; Mobile Application</w:t>
      </w:r>
    </w:p>
    <w:p/>
    <w:p>
      <w:pPr>
        <w:jc w:val="center"/>
      </w:pPr>
      <w:r>
        <w:rPr>
          <w:sz w:val="22"/>
        </w:rPr>
        <w:t>Prepared for: ABC Safety Solutions, Inc.</w:t>
        <w:br/>
      </w:r>
      <w:r>
        <w:rPr>
          <w:sz w:val="22"/>
        </w:rPr>
        <w:t>Project: E‑commerce learning portal linked from existing website</w:t>
        <w:br/>
      </w:r>
      <w:r>
        <w:rPr>
          <w:sz w:val="22"/>
        </w:rPr>
        <w:t>Document type: Scope &amp; requirements summary</w:t>
        <w:br/>
      </w:r>
    </w:p>
    <w:p/>
    <w:p>
      <w:pPr>
        <w:jc w:val="center"/>
      </w:pPr>
      <w:r>
        <w:t>──────────────────────────────────────────────────</w:t>
      </w:r>
    </w:p>
    <w:p/>
    <w:p>
      <w:pPr>
        <w:pStyle w:val="Heading1"/>
      </w:pPr>
      <w:r>
        <w:t>1. Purpose</w:t>
      </w:r>
    </w:p>
    <w:p>
      <w:r>
        <w:t>This document defines the agreed scope for a dedicated online training platform that complements ABC Safety Solutions’ current marketing website. The existing WordPress site remains the public front door; a new tab or link will direct visitors to this portal for course discovery, purchase, learning, assessment, and digital credentials.</w:t>
      </w:r>
    </w:p>
    <w:p>
      <w:r>
        <w:t>The same capabilities will be available on iOS and Android so learners can register, complete training on mobile devices, and keep certificates readily available for job sites.</w:t>
      </w:r>
    </w:p>
    <w:p>
      <w:pPr>
        <w:pStyle w:val="Heading1"/>
      </w:pPr>
      <w:r>
        <w:t>2. Business objectives</w:t>
      </w:r>
    </w:p>
    <w:p>
      <w:pPr>
        <w:pStyle w:val="ListBullet"/>
      </w:pPr>
      <w:r>
        <w:t>Sell approximately twenty (20) online courses at launch, with room to add more through the admin panel without per‑course development fees for standard self‑service listings.</w:t>
      </w:r>
    </w:p>
    <w:p>
      <w:pPr>
        <w:pStyle w:val="ListBullet"/>
      </w:pPr>
      <w:r>
        <w:t>Deliver each course as slide‑based content (typically 30–60 slides) with professional voice‑over audio.</w:t>
      </w:r>
    </w:p>
    <w:p>
      <w:pPr>
        <w:pStyle w:val="ListBullet"/>
      </w:pPr>
      <w:r>
        <w:t>Require a knowledge check (test) after training; issue a branded PDF certificate upon successful completion.</w:t>
      </w:r>
    </w:p>
    <w:p>
      <w:pPr>
        <w:pStyle w:val="ListBullet"/>
      </w:pPr>
      <w:r>
        <w:t>Support category-level certificate wording controlled by admin, so each training discipline can display its own certification text.</w:t>
      </w:r>
    </w:p>
    <w:p>
      <w:pPr>
        <w:pStyle w:val="ListBullet"/>
      </w:pPr>
      <w:r>
        <w:t>Email the certificate automatically and store it in the learner’s web and app account.</w:t>
      </w:r>
    </w:p>
    <w:p>
      <w:pPr>
        <w:pStyle w:val="ListBullet"/>
      </w:pPr>
      <w:r>
        <w:t>Support renewal reminders and optional broadcast announcements for new or updated offerings.</w:t>
      </w:r>
    </w:p>
    <w:p>
      <w:pPr>
        <w:pStyle w:val="Heading1"/>
      </w:pPr>
      <w:r>
        <w:t>3. Scope of delivery</w:t>
      </w:r>
    </w:p>
    <w:p>
      <w:pPr>
        <w:pStyle w:val="Heading2"/>
      </w:pPr>
      <w:r>
        <w:t>3.1 Web portal (new site)</w:t>
      </w:r>
    </w:p>
    <w:p>
      <w:pPr>
        <w:pStyle w:val="ListBullet"/>
      </w:pPr>
      <w:r>
        <w:t>Public pages: landing, course catalog, course detail, and checkout flow</w:t>
      </w:r>
    </w:p>
    <w:p>
      <w:pPr>
        <w:pStyle w:val="ListBullet"/>
      </w:pPr>
      <w:r>
        <w:t>Branding: company logo, colors, and copy consistent with ABC Safety Solutions</w:t>
      </w:r>
    </w:p>
    <w:p>
      <w:pPr>
        <w:pStyle w:val="ListBullet"/>
      </w:pPr>
      <w:r>
        <w:t>User accounts: sign‑up, login, password reset, profile (name used on certificates)</w:t>
      </w:r>
    </w:p>
    <w:p>
      <w:pPr>
        <w:pStyle w:val="ListBullet"/>
      </w:pPr>
      <w:r>
        <w:t>E‑commerce: secure payment integration (e.g. Stripe) and order history</w:t>
      </w:r>
    </w:p>
    <w:p>
      <w:pPr>
        <w:pStyle w:val="ListBullet"/>
      </w:pPr>
      <w:r>
        <w:t>Course player: slides with audio; progress saved so learners can resume</w:t>
      </w:r>
    </w:p>
    <w:p>
      <w:pPr>
        <w:pStyle w:val="ListBullet"/>
      </w:pPr>
      <w:r>
        <w:t>Assessments: tests linked to courses; automated scoring; pass / fail handling</w:t>
      </w:r>
    </w:p>
    <w:p>
      <w:pPr>
        <w:pStyle w:val="ListBullet"/>
      </w:pPr>
      <w:r>
        <w:t>Certificates: branded layout with prominent blue company logo; includes learner name, course title, completion date, and category-specific certification text; delivery by email and dashboard download</w:t>
      </w:r>
    </w:p>
    <w:p>
      <w:pPr>
        <w:pStyle w:val="ListBullet"/>
      </w:pPr>
      <w:r>
        <w:t>Categories and subcategories for organizing the catalog</w:t>
      </w:r>
    </w:p>
    <w:p>
      <w:pPr>
        <w:pStyle w:val="ListBullet"/>
      </w:pPr>
      <w:r>
        <w:t>Admin panel: manage courses, media, tests, pricing, users/orders, announcements, and category certificate text</w:t>
      </w:r>
    </w:p>
    <w:p>
      <w:pPr>
        <w:pStyle w:val="ListBullet"/>
      </w:pPr>
      <w:r>
        <w:t>Responsive layout for phones and tablets</w:t>
      </w:r>
    </w:p>
    <w:p>
      <w:pPr>
        <w:pStyle w:val="ListBullet"/>
      </w:pPr>
      <w:r>
        <w:t>Deployment-ready configuration for Vercel builds and Cloudflare Pages static build upload</w:t>
      </w:r>
    </w:p>
    <w:p>
      <w:pPr>
        <w:pStyle w:val="Heading2"/>
      </w:pPr>
      <w:r>
        <w:t>3.2 Mobile applications</w:t>
      </w:r>
    </w:p>
    <w:p>
      <w:pPr>
        <w:pStyle w:val="ListBullet"/>
      </w:pPr>
      <w:r>
        <w:t>iOS and Android apps connected to the same backend as the web portal</w:t>
      </w:r>
    </w:p>
    <w:p>
      <w:pPr>
        <w:pStyle w:val="ListBullet"/>
      </w:pPr>
      <w:r>
        <w:t>Browse or access purchased courses, complete training, and take tests</w:t>
      </w:r>
    </w:p>
    <w:p>
      <w:pPr>
        <w:pStyle w:val="ListBullet"/>
      </w:pPr>
      <w:r>
        <w:t>Certificate wallet: view and present credentials on site</w:t>
      </w:r>
    </w:p>
    <w:p>
      <w:pPr>
        <w:pStyle w:val="ListBullet"/>
      </w:pPr>
      <w:r>
        <w:t>Push notifications: training renewal / expiry reminders (where configured per course)</w:t>
      </w:r>
    </w:p>
    <w:p>
      <w:pPr>
        <w:pStyle w:val="ListBullet"/>
      </w:pPr>
      <w:r>
        <w:t>Optional: broadcast messages to logged‑in users (e.g. new course announcements)</w:t>
      </w:r>
    </w:p>
    <w:p>
      <w:pPr>
        <w:pStyle w:val="Heading2"/>
      </w:pPr>
      <w:r>
        <w:t>3.3 Integration with current website</w:t>
      </w:r>
    </w:p>
    <w:p>
      <w:r>
        <w:t>No redesign of the existing WordPress site is required. ABC Safety Solutions will add a navigation item (e.g. “Online courses”) that links to the new portal URL.</w:t>
      </w:r>
    </w:p>
    <w:p>
      <w:pPr>
        <w:pStyle w:val="Heading1"/>
      </w:pPr>
      <w:r>
        <w:t>4. Requirements summary (agreed)</w:t>
      </w:r>
    </w:p>
    <w:tbl>
      <w:tblPr>
        <w:tblStyle w:val="TableGrid"/>
        <w:tblW w:type="auto" w:w="0"/>
        <w:jc w:val="center"/>
        <w:tblLook w:firstColumn="1" w:firstRow="1" w:lastColumn="0" w:lastRow="0" w:noHBand="0" w:noVBand="1" w:val="04A0"/>
      </w:tblPr>
      <w:tblGrid>
        <w:gridCol w:w="4320"/>
        <w:gridCol w:w="4320"/>
      </w:tblGrid>
      <w:tr>
        <w:tc>
          <w:tcPr>
            <w:tcW w:type="dxa" w:w="4320"/>
            <w:shd w:fill="1a365d"/>
          </w:tcPr>
          <w:p>
            <w:pPr>
              <w:jc w:val="center"/>
            </w:pPr>
            <w:r>
              <w:rPr>
                <w:b/>
                <w:color w:val="FFFFFF"/>
                <w:sz w:val="20"/>
              </w:rPr>
              <w:t>Area</w:t>
            </w:r>
          </w:p>
        </w:tc>
        <w:tc>
          <w:tcPr>
            <w:tcW w:type="dxa" w:w="4320"/>
            <w:shd w:fill="1a365d"/>
          </w:tcPr>
          <w:p>
            <w:pPr>
              <w:jc w:val="center"/>
            </w:pPr>
            <w:r>
              <w:rPr>
                <w:b/>
                <w:color w:val="FFFFFF"/>
                <w:sz w:val="20"/>
              </w:rPr>
              <w:t>Agreement</w:t>
            </w:r>
          </w:p>
        </w:tc>
      </w:tr>
      <w:tr>
        <w:tc>
          <w:tcPr>
            <w:tcW w:type="dxa" w:w="4320"/>
          </w:tcPr>
          <w:p>
            <w:r>
              <w:rPr>
                <w:sz w:val="20"/>
              </w:rPr>
              <w:t>Website change</w:t>
            </w:r>
          </w:p>
        </w:tc>
        <w:tc>
          <w:tcPr>
            <w:tcW w:type="dxa" w:w="4320"/>
          </w:tcPr>
          <w:p>
            <w:r>
              <w:rPr>
                <w:sz w:val="20"/>
              </w:rPr>
              <w:t>Link/tab only to external portal; main site unchanged.</w:t>
            </w:r>
          </w:p>
        </w:tc>
      </w:tr>
      <w:tr>
        <w:tc>
          <w:tcPr>
            <w:tcW w:type="dxa" w:w="4320"/>
          </w:tcPr>
          <w:p>
            <w:r>
              <w:rPr>
                <w:sz w:val="20"/>
              </w:rPr>
              <w:t>Initial catalog</w:t>
            </w:r>
          </w:p>
        </w:tc>
        <w:tc>
          <w:tcPr>
            <w:tcW w:type="dxa" w:w="4320"/>
          </w:tcPr>
          <w:p>
            <w:r>
              <w:rPr>
                <w:sz w:val="20"/>
              </w:rPr>
              <w:t>~20 courses; descriptions may mirror current Training &amp; Certificates content.</w:t>
            </w:r>
          </w:p>
        </w:tc>
      </w:tr>
      <w:tr>
        <w:tc>
          <w:tcPr>
            <w:tcW w:type="dxa" w:w="4320"/>
          </w:tcPr>
          <w:p>
            <w:r>
              <w:rPr>
                <w:sz w:val="20"/>
              </w:rPr>
              <w:t>Format</w:t>
            </w:r>
          </w:p>
        </w:tc>
        <w:tc>
          <w:tcPr>
            <w:tcW w:type="dxa" w:w="4320"/>
          </w:tcPr>
          <w:p>
            <w:r>
              <w:rPr>
                <w:sz w:val="20"/>
              </w:rPr>
              <w:t>Slide decks (~30–60 slides) + voice‑over audio.</w:t>
            </w:r>
          </w:p>
        </w:tc>
      </w:tr>
      <w:tr>
        <w:tc>
          <w:tcPr>
            <w:tcW w:type="dxa" w:w="4320"/>
          </w:tcPr>
          <w:p>
            <w:r>
              <w:rPr>
                <w:sz w:val="20"/>
              </w:rPr>
              <w:t>Purchase</w:t>
            </w:r>
          </w:p>
        </w:tc>
        <w:tc>
          <w:tcPr>
            <w:tcW w:type="dxa" w:w="4320"/>
          </w:tcPr>
          <w:p>
            <w:r>
              <w:rPr>
                <w:sz w:val="20"/>
              </w:rPr>
              <w:t>Pay online → immediate access to purchased course(s).</w:t>
            </w:r>
          </w:p>
        </w:tc>
      </w:tr>
      <w:tr>
        <w:tc>
          <w:tcPr>
            <w:tcW w:type="dxa" w:w="4320"/>
          </w:tcPr>
          <w:p>
            <w:r>
              <w:rPr>
                <w:sz w:val="20"/>
              </w:rPr>
              <w:t>Completion</w:t>
            </w:r>
          </w:p>
        </w:tc>
        <w:tc>
          <w:tcPr>
            <w:tcW w:type="dxa" w:w="4320"/>
          </w:tcPr>
          <w:p>
            <w:r>
              <w:rPr>
                <w:sz w:val="20"/>
              </w:rPr>
              <w:t>Pass test → PDF certificate + email; stored in account.</w:t>
            </w:r>
          </w:p>
        </w:tc>
      </w:tr>
      <w:tr>
        <w:tc>
          <w:tcPr>
            <w:tcW w:type="dxa" w:w="4320"/>
          </w:tcPr>
          <w:p>
            <w:r>
              <w:rPr>
                <w:sz w:val="20"/>
              </w:rPr>
              <w:t>Certificate content</w:t>
            </w:r>
          </w:p>
        </w:tc>
        <w:tc>
          <w:tcPr>
            <w:tcW w:type="dxa" w:w="4320"/>
          </w:tcPr>
          <w:p>
            <w:r>
              <w:rPr>
                <w:sz w:val="20"/>
              </w:rPr>
              <w:t>Admin can set/edit category-level certification text shown on certificates.</w:t>
            </w:r>
          </w:p>
        </w:tc>
      </w:tr>
      <w:tr>
        <w:tc>
          <w:tcPr>
            <w:tcW w:type="dxa" w:w="4320"/>
          </w:tcPr>
          <w:p>
            <w:r>
              <w:rPr>
                <w:sz w:val="20"/>
              </w:rPr>
              <w:t>Branding on certificate</w:t>
            </w:r>
          </w:p>
        </w:tc>
        <w:tc>
          <w:tcPr>
            <w:tcW w:type="dxa" w:w="4320"/>
          </w:tcPr>
          <w:p>
            <w:r>
              <w:rPr>
                <w:sz w:val="20"/>
              </w:rPr>
              <w:t>Main blue web app logo is prominently displayed in certificate header.</w:t>
            </w:r>
          </w:p>
        </w:tc>
      </w:tr>
      <w:tr>
        <w:tc>
          <w:tcPr>
            <w:tcW w:type="dxa" w:w="4320"/>
          </w:tcPr>
          <w:p>
            <w:r>
              <w:rPr>
                <w:sz w:val="20"/>
              </w:rPr>
              <w:t>Admin</w:t>
            </w:r>
          </w:p>
        </w:tc>
        <w:tc>
          <w:tcPr>
            <w:tcW w:type="dxa" w:w="4320"/>
          </w:tcPr>
          <w:p>
            <w:r>
              <w:rPr>
                <w:sz w:val="20"/>
              </w:rPr>
              <w:t>Full control to add/edit courses, tests, and media without developer for routine updates.</w:t>
            </w:r>
          </w:p>
        </w:tc>
      </w:tr>
      <w:tr>
        <w:tc>
          <w:tcPr>
            <w:tcW w:type="dxa" w:w="4320"/>
          </w:tcPr>
          <w:p>
            <w:r>
              <w:rPr>
                <w:sz w:val="20"/>
              </w:rPr>
              <w:t>Mobile</w:t>
            </w:r>
          </w:p>
        </w:tc>
        <w:tc>
          <w:tcPr>
            <w:tcW w:type="dxa" w:w="4320"/>
          </w:tcPr>
          <w:p>
            <w:r>
              <w:rPr>
                <w:sz w:val="20"/>
              </w:rPr>
              <w:t>Same learning and certificates as web; reminders and announcements supported.</w:t>
            </w:r>
          </w:p>
        </w:tc>
      </w:tr>
      <w:tr>
        <w:tc>
          <w:tcPr>
            <w:tcW w:type="dxa" w:w="4320"/>
          </w:tcPr>
          <w:p>
            <w:r>
              <w:rPr>
                <w:sz w:val="20"/>
              </w:rPr>
              <w:t>Deployment</w:t>
            </w:r>
          </w:p>
        </w:tc>
        <w:tc>
          <w:tcPr>
            <w:tcW w:type="dxa" w:w="4320"/>
          </w:tcPr>
          <w:p>
            <w:r>
              <w:rPr>
                <w:sz w:val="20"/>
              </w:rPr>
              <w:t>Configured for Vercel production builds and Cloudflare Pages `dist` uploads.</w:t>
            </w:r>
          </w:p>
        </w:tc>
      </w:tr>
    </w:tbl>
    <w:p/>
    <w:p>
      <w:pPr>
        <w:pStyle w:val="Heading1"/>
      </w:pPr>
      <w:r>
        <w:t>5. Core user journeys</w:t>
      </w:r>
    </w:p>
    <w:p>
      <w:r>
        <w:rPr>
          <w:b/>
        </w:rPr>
        <w:t xml:space="preserve">Learner — web. </w:t>
      </w:r>
      <w:r>
        <w:t>Main site → Portal → Choose course → Pay → Study slides/audio → Take test → Receive certificate by email → Download from dashboard.</w:t>
      </w:r>
    </w:p>
    <w:p>
      <w:r>
        <w:rPr>
          <w:b/>
        </w:rPr>
        <w:t xml:space="preserve">Learner — app. </w:t>
      </w:r>
      <w:r>
        <w:t>Install app → Sign in → My courses → Same learning and test flow → Certificates in wallet.</w:t>
      </w:r>
    </w:p>
    <w:p>
      <w:r>
        <w:rPr>
          <w:b/>
        </w:rPr>
        <w:t xml:space="preserve">Administrator. </w:t>
      </w:r>
      <w:r>
        <w:t>Log in → Create or edit course → Upload slides/audio → Build test → Set price and category → Publish → Monitor orders and completions.</w:t>
      </w:r>
    </w:p>
    <w:p>
      <w:pPr>
        <w:pStyle w:val="Heading1"/>
      </w:pPr>
      <w:r>
        <w:t>6. Phased delivery (indicative)</w:t>
      </w:r>
    </w:p>
    <w:p>
      <w:r>
        <w:t>Exact dates and payment splits will be confirmed in the project schedule. Typical phases:</w:t>
      </w:r>
    </w:p>
    <w:p>
      <w:pPr>
        <w:pStyle w:val="ListNumber"/>
      </w:pPr>
      <w:r>
        <w:t>1. Scope acceptance and environment planning (hosting, domains, app store accounts as needed)</w:t>
      </w:r>
    </w:p>
    <w:p>
      <w:pPr>
        <w:pStyle w:val="ListNumber"/>
      </w:pPr>
      <w:r>
        <w:t>2. Design / front‑end prototypes (including mobile)</w:t>
      </w:r>
    </w:p>
    <w:p>
      <w:pPr>
        <w:pStyle w:val="ListNumber"/>
      </w:pPr>
      <w:r>
        <w:t>3. Backend, admin panel, and APIs</w:t>
      </w:r>
    </w:p>
    <w:p>
      <w:pPr>
        <w:pStyle w:val="ListNumber"/>
      </w:pPr>
      <w:r>
        <w:t>4. Payments, email, PDF certificates, and push notifications</w:t>
      </w:r>
    </w:p>
    <w:p>
      <w:pPr>
        <w:pStyle w:val="ListNumber"/>
      </w:pPr>
      <w:r>
        <w:t>5. Content load and user acceptance testing (UAT) with ~20 courses</w:t>
      </w:r>
    </w:p>
    <w:p>
      <w:pPr>
        <w:pStyle w:val="ListNumber"/>
      </w:pPr>
      <w:r>
        <w:t>6. Launch: portal live, WordPress link active, app store submission</w:t>
      </w:r>
    </w:p>
    <w:p>
      <w:r>
        <w:t>Note: Ongoing hosting, domain renewal, and third‑party fees (e.g. Apple/Google developer programs, email provider, cloud hosting) are typically borne by the client unless otherwise agreed.</w:t>
      </w:r>
    </w:p>
    <w:p>
      <w:pPr>
        <w:pStyle w:val="Heading1"/>
      </w:pPr>
      <w:r>
        <w:t>7. Client responsibilities</w:t>
      </w:r>
    </w:p>
    <w:p>
      <w:pPr>
        <w:pStyle w:val="ListBullet"/>
      </w:pPr>
      <w:r>
        <w:t>Provide logo, brand guidelines, and final certificate PDF template (layout, signature, wording).</w:t>
      </w:r>
    </w:p>
    <w:p>
      <w:pPr>
        <w:pStyle w:val="ListBullet"/>
      </w:pPr>
      <w:r>
        <w:t>Supply course copy, slide assets, and voice‑over audio (or approve production workflow).</w:t>
      </w:r>
    </w:p>
    <w:p>
      <w:pPr>
        <w:pStyle w:val="ListBullet"/>
      </w:pPr>
      <w:r>
        <w:t>Provide list of ~20 launch courses and category structure.</w:t>
      </w:r>
    </w:p>
    <w:p>
      <w:pPr>
        <w:pStyle w:val="ListBullet"/>
      </w:pPr>
      <w:r>
        <w:t>Decide payment processor and merchant‑of‑record approach; provide accounts as needed.</w:t>
      </w:r>
    </w:p>
    <w:p>
      <w:pPr>
        <w:pStyle w:val="ListBullet"/>
      </w:pPr>
      <w:r>
        <w:t>Apple Developer and Google Play Console access for app publication (recommended under client account).</w:t>
      </w:r>
    </w:p>
    <w:p>
      <w:pPr>
        <w:pStyle w:val="ListBullet"/>
      </w:pPr>
      <w:r>
        <w:t>Timely review and sign‑off at each milestone.</w:t>
      </w:r>
    </w:p>
    <w:p>
      <w:pPr>
        <w:pStyle w:val="Heading1"/>
      </w:pPr>
      <w:r>
        <w:t>8. Items to confirm (sign‑off)</w:t>
      </w:r>
    </w:p>
    <w:p>
      <w:r>
        <w:t>The following items were discussed and should be explicitly marked In scope or Phase 2 before build proceeds: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c5282"/>
          </w:tcPr>
          <w:p>
            <w:pPr>
              <w:jc w:val="center"/>
            </w:pPr>
            <w:r>
              <w:rPr>
                <w:b/>
                <w:color w:val="FFFFFF"/>
                <w:sz w:val="20"/>
              </w:rPr>
              <w:t>#</w:t>
            </w:r>
          </w:p>
        </w:tc>
        <w:tc>
          <w:tcPr>
            <w:tcW w:type="dxa" w:w="2880"/>
            <w:shd w:fill="2c5282"/>
          </w:tcPr>
          <w:p>
            <w:pPr>
              <w:jc w:val="center"/>
            </w:pPr>
            <w:r>
              <w:rPr>
                <w:b/>
                <w:color w:val="FFFFFF"/>
                <w:sz w:val="20"/>
              </w:rPr>
              <w:t>Topic</w:t>
            </w:r>
          </w:p>
        </w:tc>
        <w:tc>
          <w:tcPr>
            <w:tcW w:type="dxa" w:w="2880"/>
            <w:shd w:fill="2c5282"/>
          </w:tcPr>
          <w:p>
            <w:pPr>
              <w:jc w:val="center"/>
            </w:pPr>
            <w:r>
              <w:rPr>
                <w:b/>
                <w:color w:val="FFFFFF"/>
                <w:sz w:val="20"/>
              </w:rPr>
              <w:t>Options / notes</w:t>
            </w:r>
          </w:p>
        </w:tc>
      </w:tr>
      <w:tr>
        <w:tc>
          <w:tcPr>
            <w:tcW w:type="dxa" w:w="2880"/>
          </w:tcPr>
          <w:p>
            <w:r>
              <w:rPr>
                <w:sz w:val="20"/>
              </w:rPr>
              <w:t>1</w:t>
            </w:r>
          </w:p>
        </w:tc>
        <w:tc>
          <w:tcPr>
            <w:tcW w:type="dxa" w:w="2880"/>
          </w:tcPr>
          <w:p>
            <w:r>
              <w:rPr>
                <w:sz w:val="20"/>
              </w:rPr>
              <w:t>Payments</w:t>
            </w:r>
          </w:p>
        </w:tc>
        <w:tc>
          <w:tcPr>
            <w:tcW w:type="dxa" w:w="2880"/>
          </w:tcPr>
          <w:p>
            <w:r>
              <w:rPr>
                <w:sz w:val="20"/>
              </w:rPr>
              <w:t>Stripe on portal vs. alternate processor; refunds policy.</w:t>
            </w:r>
          </w:p>
        </w:tc>
      </w:tr>
      <w:tr>
        <w:tc>
          <w:tcPr>
            <w:tcW w:type="dxa" w:w="2880"/>
          </w:tcPr>
          <w:p>
            <w:r>
              <w:rPr>
                <w:sz w:val="20"/>
              </w:rPr>
              <w:t>2</w:t>
            </w:r>
          </w:p>
        </w:tc>
        <w:tc>
          <w:tcPr>
            <w:tcW w:type="dxa" w:w="2880"/>
          </w:tcPr>
          <w:p>
            <w:r>
              <w:rPr>
                <w:sz w:val="20"/>
              </w:rPr>
              <w:t>App checkout</w:t>
            </w:r>
          </w:p>
        </w:tc>
        <w:tc>
          <w:tcPr>
            <w:tcW w:type="dxa" w:w="2880"/>
          </w:tcPr>
          <w:p>
            <w:r>
              <w:rPr>
                <w:sz w:val="20"/>
              </w:rPr>
              <w:t>In‑app purchase vs. web checkout + app access (store policy).</w:t>
            </w:r>
          </w:p>
        </w:tc>
      </w:tr>
      <w:tr>
        <w:tc>
          <w:tcPr>
            <w:tcW w:type="dxa" w:w="2880"/>
          </w:tcPr>
          <w:p>
            <w:r>
              <w:rPr>
                <w:sz w:val="20"/>
              </w:rPr>
              <w:t>3</w:t>
            </w:r>
          </w:p>
        </w:tc>
        <w:tc>
          <w:tcPr>
            <w:tcW w:type="dxa" w:w="2880"/>
          </w:tcPr>
          <w:p>
            <w:r>
              <w:rPr>
                <w:sz w:val="20"/>
              </w:rPr>
              <w:t>Certificate verification</w:t>
            </w:r>
          </w:p>
        </w:tc>
        <w:tc>
          <w:tcPr>
            <w:tcW w:type="dxa" w:w="2880"/>
          </w:tcPr>
          <w:p>
            <w:r>
              <w:rPr>
                <w:sz w:val="20"/>
              </w:rPr>
              <w:t>Public verify page / QR — yes, no, or later phase.</w:t>
            </w:r>
          </w:p>
        </w:tc>
      </w:tr>
      <w:tr>
        <w:tc>
          <w:tcPr>
            <w:tcW w:type="dxa" w:w="2880"/>
          </w:tcPr>
          <w:p>
            <w:r>
              <w:rPr>
                <w:sz w:val="20"/>
              </w:rPr>
              <w:t>4</w:t>
            </w:r>
          </w:p>
        </w:tc>
        <w:tc>
          <w:tcPr>
            <w:tcW w:type="dxa" w:w="2880"/>
          </w:tcPr>
          <w:p>
            <w:r>
              <w:rPr>
                <w:sz w:val="20"/>
              </w:rPr>
              <w:t>Test rules</w:t>
            </w:r>
          </w:p>
        </w:tc>
        <w:tc>
          <w:tcPr>
            <w:tcW w:type="dxa" w:w="2880"/>
          </w:tcPr>
          <w:p>
            <w:r>
              <w:rPr>
                <w:sz w:val="20"/>
              </w:rPr>
              <w:t>Passing score, attempts allowed, time limit, question randomization.</w:t>
            </w:r>
          </w:p>
        </w:tc>
      </w:tr>
      <w:tr>
        <w:tc>
          <w:tcPr>
            <w:tcW w:type="dxa" w:w="2880"/>
          </w:tcPr>
          <w:p>
            <w:r>
              <w:rPr>
                <w:sz w:val="20"/>
              </w:rPr>
              <w:t>5</w:t>
            </w:r>
          </w:p>
        </w:tc>
        <w:tc>
          <w:tcPr>
            <w:tcW w:type="dxa" w:w="2880"/>
          </w:tcPr>
          <w:p>
            <w:r>
              <w:rPr>
                <w:sz w:val="20"/>
              </w:rPr>
              <w:t>Slide / seat time gating</w:t>
            </w:r>
          </w:p>
        </w:tc>
        <w:tc>
          <w:tcPr>
            <w:tcW w:type="dxa" w:w="2880"/>
          </w:tcPr>
          <w:p>
            <w:r>
              <w:rPr>
                <w:sz w:val="20"/>
              </w:rPr>
              <w:t>None vs. must complete all slides before test.</w:t>
            </w:r>
          </w:p>
        </w:tc>
      </w:tr>
      <w:tr>
        <w:tc>
          <w:tcPr>
            <w:tcW w:type="dxa" w:w="2880"/>
          </w:tcPr>
          <w:p>
            <w:r>
              <w:rPr>
                <w:sz w:val="20"/>
              </w:rPr>
              <w:t>6</w:t>
            </w:r>
          </w:p>
        </w:tc>
        <w:tc>
          <w:tcPr>
            <w:tcW w:type="dxa" w:w="2880"/>
          </w:tcPr>
          <w:p>
            <w:r>
              <w:rPr>
                <w:sz w:val="20"/>
              </w:rPr>
              <w:t>Accessibility</w:t>
            </w:r>
          </w:p>
        </w:tc>
        <w:tc>
          <w:tcPr>
            <w:tcW w:type="dxa" w:w="2880"/>
          </w:tcPr>
          <w:p>
            <w:r>
              <w:rPr>
                <w:sz w:val="20"/>
              </w:rPr>
              <w:t>Captions / transcripts for audio — phase 1 vs. 2.</w:t>
            </w:r>
          </w:p>
        </w:tc>
      </w:tr>
      <w:tr>
        <w:tc>
          <w:tcPr>
            <w:tcW w:type="dxa" w:w="2880"/>
          </w:tcPr>
          <w:p>
            <w:r>
              <w:rPr>
                <w:sz w:val="20"/>
              </w:rPr>
              <w:t>7</w:t>
            </w:r>
          </w:p>
        </w:tc>
        <w:tc>
          <w:tcPr>
            <w:tcW w:type="dxa" w:w="2880"/>
          </w:tcPr>
          <w:p>
            <w:r>
              <w:rPr>
                <w:sz w:val="20"/>
              </w:rPr>
              <w:t>Hosting</w:t>
            </w:r>
          </w:p>
        </w:tc>
        <w:tc>
          <w:tcPr>
            <w:tcW w:type="dxa" w:w="2880"/>
          </w:tcPr>
          <w:p>
            <w:r>
              <w:rPr>
                <w:sz w:val="20"/>
              </w:rPr>
              <w:t>Provider choice and monthly budget.</w:t>
            </w:r>
          </w:p>
        </w:tc>
      </w:tr>
    </w:tbl>
    <w:p/>
    <w:p>
      <w:pPr>
        <w:pStyle w:val="Heading1"/>
      </w:pPr>
      <w:r>
        <w:t>9. Out of scope (unless added by change request)</w:t>
      </w:r>
    </w:p>
    <w:p>
      <w:pPr>
        <w:pStyle w:val="ListBullet"/>
      </w:pPr>
      <w:r>
        <w:t>Redesign or migration of the entire existing WordPress marketing site</w:t>
      </w:r>
    </w:p>
    <w:p>
      <w:pPr>
        <w:pStyle w:val="ListBullet"/>
      </w:pPr>
      <w:r>
        <w:t>Full enterprise LMS features (SCORM/xAPI, complex multi‑tenant portals)</w:t>
      </w:r>
    </w:p>
    <w:p>
      <w:pPr>
        <w:pStyle w:val="ListBullet"/>
      </w:pPr>
      <w:r>
        <w:t>Live virtual classroom or webinar integration</w:t>
      </w:r>
    </w:p>
    <w:p>
      <w:pPr>
        <w:pStyle w:val="ListBullet"/>
      </w:pPr>
      <w:r>
        <w:t>In‑person class scheduling and classroom management (separate from this online catalog)</w:t>
      </w:r>
    </w:p>
    <w:p>
      <w:pPr>
        <w:pStyle w:val="ListBullet"/>
      </w:pPr>
      <w:r>
        <w:t>Legal compliance guarantees beyond implementing agreed features (client retains responsibility for training content accuracy and regulatory suitability)</w:t>
      </w:r>
    </w:p>
    <w:p>
      <w:pPr>
        <w:pStyle w:val="Heading1"/>
      </w:pPr>
      <w:r>
        <w:t>10. Acceptance</w:t>
      </w:r>
    </w:p>
    <w:p>
      <w:r>
        <w:t>Acceptance of this scope authorizes development to proceed according to the agreed milestones and pricing. Changes that materially expand functionality, integrations, or course count beyond self‑service admin use may be quoted separately.</w:t>
      </w:r>
    </w:p>
    <w:p/>
    <w:p>
      <w:r>
        <w:t>Client approval</w:t>
        <w:br/>
        <w:br/>
        <w:t>Name: _________________________</w:t>
        <w:br/>
        <w:t>Title: ________________________</w:t>
        <w:br/>
        <w:t>Date: _________________________</w:t>
        <w:br/>
        <w:br/>
      </w:r>
      <w:r>
        <w:t>Developer / Vendor</w:t>
        <w:br/>
        <w:br/>
        <w:t>Name: _________________________</w:t>
        <w:br/>
        <w:t>Date: _________________________</w:t>
        <w:br/>
      </w:r>
    </w:p>
    <w:p/>
    <w:p>
      <w:r>
        <w:rPr>
          <w:i/>
          <w:color w:val="718096"/>
          <w:sz w:val="18"/>
        </w:rPr>
        <w:t>This scope reflects discovery discussions with ABC Safety Solutions, Inc. and technical planning for the online training portal and mobile apps.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