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Behavior Analysis and Segmentation Strategy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Prepared for:</w:t>
      </w:r>
      <w:r w:rsidDel="00000000" w:rsidR="00000000" w:rsidRPr="00000000">
        <w:rPr>
          <w:rtl w:val="0"/>
        </w:rPr>
        <w:t xml:space="preserve"> Retail eCommerce Data Analyst Internship – Week 2 Task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b w:val="1"/>
          <w:bCs w:val="1"/>
          <w:rtl w:val="0"/>
        </w:rPr>
        <w:t xml:space="preserve">Date:</w:t>
      </w:r>
      <w:r w:rsidDel="00000000" w:rsidR="00000000" w:rsidRPr="00000000">
        <w:rPr>
          <w:rtl w:val="0"/>
        </w:rPr>
        <w:t xml:space="preserve"> September 9, 2026</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Summary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In the contemporary digital retail landscape, data-driven customer segmentation is the cornerstone of effective marketing optimization, resource allocation, and revenue maximization. This report establishes a comprehensive Customer Behavior Analysis and Segmentation Strategy for a simulated retail eCommerce platform. By leveraging multi-dimensional metrics—specifically incorporating Recency, Frequency, and Monetary (RFM) modeling alongside behavioral and demographic criteria—the customer base is systematically categorized into five distinct operational segments: High-Value Loyalists, Occasional Shoppers, Window Shoppers, New Customers, and Dormant Customers.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The analysis reveals critical insights into customer lifetime value (LTV), purchasing velocity, and attrition vulnerabilities. While High-Value Loyalists drive a disproportionate share of top-line revenue, Window Shoppers and New Customers represent substantial conversion and growth potential. Strategic marketing recommendations are formulated for each segment to improve retention, elevate Average Order Value (AOV), and reactivate lapsed buyers, providing a robust operational blueprint for sustainable eCommerce growth.</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Introduction – Why Segmentation Matters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Modern retail eCommerce generates immense volumes of transactional, behavioral, and engagement data. Treating a customer base as a homogenous entity limits marketing efficiency, dilutes promotional messaging, and leads to sub-optimal customer acquisition and retention costs. Customer segmentation is the strategic practice of dividing a broad customer base into sub-groups of individuals who share similar behavioral, purchasing, or demographic characteristics.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The strategic imperatives for implementing a rigorous segmentation framework include: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Personalization at Scale:</w:t>
      </w:r>
      <w:r w:rsidDel="00000000" w:rsidR="00000000" w:rsidRPr="00000000">
        <w:rPr>
          <w:rtl w:val="0"/>
        </w:rPr>
        <w:t xml:space="preserve"> Tailoring product recommendations, promotional discounts, and email campaigns to align with specific consumer preferences and buying triggers.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Optimized Marketing Spend:</w:t>
      </w:r>
      <w:r w:rsidDel="00000000" w:rsidR="00000000" w:rsidRPr="00000000">
        <w:rPr>
          <w:rtl w:val="0"/>
        </w:rPr>
        <w:t xml:space="preserve"> Reallocating acquisition and retention budgets toward high-ROI segments rather than deploying blanket campaigns across unprofitable or unresponsive audiences.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Churn Mitigation:</w:t>
      </w:r>
      <w:r w:rsidDel="00000000" w:rsidR="00000000" w:rsidRPr="00000000">
        <w:rPr>
          <w:rtl w:val="0"/>
        </w:rPr>
        <w:t xml:space="preserve"> Identifying early behavioral warning signs of disengagement, such as extended purchase intervals, enabling proactive intervention before a customer becomes completely dormant.</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Enhanced Customer Lifetime Value (LTV):</w:t>
      </w:r>
      <w:r w:rsidDel="00000000" w:rsidR="00000000" w:rsidRPr="00000000">
        <w:rPr>
          <w:rtl w:val="0"/>
        </w:rPr>
        <w:t xml:space="preserve"> Nurturing new and occasional shoppers through structured lifecycle marketing to transition them into high-value, loyal brand advocates.</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Segmentation Methodology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To establish an objective, scalable, and actionable taxonomy, this strategy integrates three core methodological frameworks: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RFM Analysis (Recency, Frequency, Monetary)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RFM modeling is a quantitative data analytics method used to evaluate customer value based on transactional history:</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Recency (R):</w:t>
      </w:r>
      <w:r w:rsidDel="00000000" w:rsidR="00000000" w:rsidRPr="00000000">
        <w:rPr>
          <w:rtl w:val="0"/>
        </w:rPr>
        <w:t xml:space="preserve"> How recently a customer made a purchase. Lower recency values indicate higher current engagement.</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Frequency (F):</w:t>
      </w:r>
      <w:r w:rsidDel="00000000" w:rsidR="00000000" w:rsidRPr="00000000">
        <w:rPr>
          <w:rtl w:val="0"/>
        </w:rPr>
        <w:t xml:space="preserve"> How often a customer makes a purchase within a designated observation window. Higher frequency correlates with habituation and brand loyalty.</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Monetary (M):</w:t>
      </w:r>
      <w:r w:rsidDel="00000000" w:rsidR="00000000" w:rsidRPr="00000000">
        <w:rPr>
          <w:rtl w:val="0"/>
        </w:rPr>
        <w:t xml:space="preserve"> How much money a customer spends across all transactions. Higher monetary value defines prime revenue drivers.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Behavioral Criteria</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Beyond historical transactions, behavioral metrics analyze digital footprint interactions, including site navigation paths, cart abandonment rates, promotional responsiveness, product category affinity, and device utilization (mobile vs. desktop).</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Demographic Criteria</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Age distribution, geographic concentration, household income tiers, and gender demographics are cross-referenced with behavioral segments to refine messaging tone, channel selection, and product merchandising.</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Simulated Customer Data Matrix</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The following simulated dataset outlines the quantitative breakdown across the five core customer segments, detailing their respective representation within the overall user base, revenue contribution, Average Order Value (AOV), retention rate, and purchase frequency.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Segment</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of Customers</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of Total Revenue</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Average Order Value (AOV)</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Retention Rate (%)</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Purchase Frequency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High-Value Loyalists</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12%</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42%</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$145.50</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88%</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4.5 orders / month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Occasional Shoppers</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25%</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28%</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$85.00</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52%</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1.2 orders / month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Window Shoppers</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30%</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$35.20</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12%</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0.2 orders / month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 Customers</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18%</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15%</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$62.40</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35%</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1.0 order (initial)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Dormant Customers</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15%</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$75.00</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0.1 orders / month</w:t>
            </w:r>
          </w:p>
        </w:tc>
      </w:tr>
    </w:tbl>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5. Detailed Segment Profiles</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High-Value Loyalists</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RFM Characteristics:</w:t>
      </w:r>
      <w:r w:rsidDel="00000000" w:rsidR="00000000" w:rsidRPr="00000000">
        <w:rPr>
          <w:rtl w:val="0"/>
        </w:rPr>
        <w:t xml:space="preserve"> Very high recency, high frequency, top-tier monetary value.</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Behavioral Traits:</w:t>
      </w:r>
      <w:r w:rsidDel="00000000" w:rsidR="00000000" w:rsidRPr="00000000">
        <w:rPr>
          <w:rtl w:val="0"/>
        </w:rPr>
        <w:t xml:space="preserve"> Frequently interact with push notifications, participate in loyalty reward programs, rarely wait for deep discounts, and exhibit low price sensitivity. They frequently write product reviews and share purchases on social media.</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Demographic Tendencies:</w:t>
      </w:r>
      <w:r w:rsidDel="00000000" w:rsidR="00000000" w:rsidRPr="00000000">
        <w:rPr>
          <w:rtl w:val="0"/>
        </w:rPr>
        <w:t xml:space="preserve"> Primarily aged 28–45, urban professionals with high disposable income, utilizing desktop and mobile apps interchangeably.</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Occasional Shoppers</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RFM Characteristics:</w:t>
      </w:r>
      <w:r w:rsidDel="00000000" w:rsidR="00000000" w:rsidRPr="00000000">
        <w:rPr>
          <w:rtl w:val="0"/>
        </w:rPr>
        <w:t xml:space="preserve"> Moderate recency, moderate frequency, mid-tier monetary value.</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Behavioral Traits:</w:t>
      </w:r>
      <w:r w:rsidDel="00000000" w:rsidR="00000000" w:rsidRPr="00000000">
        <w:rPr>
          <w:rtl w:val="0"/>
        </w:rPr>
        <w:t xml:space="preserve"> Purchase during seasonal sales, promotional events, or when specific seasonal needs arise. They compare prices across competitors before completing checkout.</w:t>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Demographic Tendencies:</w:t>
      </w:r>
      <w:r w:rsidDel="00000000" w:rsidR="00000000" w:rsidRPr="00000000">
        <w:rPr>
          <w:rtl w:val="0"/>
        </w:rPr>
        <w:t xml:space="preserve"> Diverse age groups (22–55), suburban families and working professionals seeking utility, value, and reliability.</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Window Shoppers</w:t>
      </w:r>
    </w:p>
    <w:p w:rsidR="00000000" w:rsidDel="00000000" w:rsidP="00000000" w:rsidRDefault="00000000" w:rsidRPr="00000000" w14:paraId="0000004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RFM Characteristics:</w:t>
      </w:r>
      <w:r w:rsidDel="00000000" w:rsidR="00000000" w:rsidRPr="00000000">
        <w:rPr>
          <w:rtl w:val="0"/>
        </w:rPr>
        <w:t xml:space="preserve"> Low recency, low frequency, minimal monetary contribution.</w:t>
      </w:r>
    </w:p>
    <w:p w:rsidR="00000000" w:rsidDel="00000000" w:rsidP="00000000" w:rsidRDefault="00000000" w:rsidRPr="00000000" w14:paraId="0000004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Behavioral Traits:</w:t>
      </w:r>
      <w:r w:rsidDel="00000000" w:rsidR="00000000" w:rsidRPr="00000000">
        <w:rPr>
          <w:rtl w:val="0"/>
        </w:rPr>
        <w:t xml:space="preserve"> High site session duration and extensive product browsing, but high cart abandonment rates and reluctance to convert. They respond heavily to free shipping thresholds and flash sales banners.</w:t>
      </w:r>
    </w:p>
    <w:p w:rsidR="00000000" w:rsidDel="00000000" w:rsidP="00000000" w:rsidRDefault="00000000" w:rsidRPr="00000000" w14:paraId="0000004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Demographic Tendencies:</w:t>
      </w:r>
      <w:r w:rsidDel="00000000" w:rsidR="00000000" w:rsidRPr="00000000">
        <w:rPr>
          <w:rtl w:val="0"/>
        </w:rPr>
        <w:t xml:space="preserve"> Younger demographic (18–30), price-conscious students and digital natives exploring trending items.</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 New Customers</w:t>
      </w:r>
    </w:p>
    <w:p w:rsidR="00000000" w:rsidDel="00000000" w:rsidP="00000000" w:rsidRDefault="00000000" w:rsidRPr="00000000" w14:paraId="0000004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RFM Characteristics:</w:t>
      </w:r>
      <w:r w:rsidDel="00000000" w:rsidR="00000000" w:rsidRPr="00000000">
        <w:rPr>
          <w:rtl w:val="0"/>
        </w:rPr>
        <w:t xml:space="preserve"> Maximum recency (first-time buyers within the last 30 days), single frequency, initial monetary value.</w:t>
      </w:r>
    </w:p>
    <w:p w:rsidR="00000000" w:rsidDel="00000000" w:rsidP="00000000" w:rsidRDefault="00000000" w:rsidRPr="00000000" w14:paraId="0000004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Behavioral Traits:</w:t>
      </w:r>
      <w:r w:rsidDel="00000000" w:rsidR="00000000" w:rsidRPr="00000000">
        <w:rPr>
          <w:rtl w:val="0"/>
        </w:rPr>
        <w:t xml:space="preserve"> High curiosity, highly sensitive to onboarding friction, shipping speed, and product packaging quality. Their subsequent engagement dictates whether they transition into loyalists or churn.</w:t>
      </w:r>
    </w:p>
    <w:p w:rsidR="00000000" w:rsidDel="00000000" w:rsidP="00000000" w:rsidRDefault="00000000" w:rsidRPr="00000000" w14:paraId="0000005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Demographic Tendencies:</w:t>
      </w:r>
      <w:r w:rsidDel="00000000" w:rsidR="00000000" w:rsidRPr="00000000">
        <w:rPr>
          <w:rtl w:val="0"/>
        </w:rPr>
        <w:t xml:space="preserve"> Varied demographics acquired via paid social media ads, influencer campaigns, or search engine marketing.</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 Dormant Customers</w:t>
      </w:r>
    </w:p>
    <w:p w:rsidR="00000000" w:rsidDel="00000000" w:rsidP="00000000" w:rsidRDefault="00000000" w:rsidRPr="00000000" w14:paraId="0000005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RFM Characteristics:</w:t>
      </w:r>
      <w:r w:rsidDel="00000000" w:rsidR="00000000" w:rsidRPr="00000000">
        <w:rPr>
          <w:rtl w:val="0"/>
        </w:rPr>
        <w:t xml:space="preserve"> Extremely low recency (no purchase in 180+ days), historical moderate frequency and monetary value.</w:t>
      </w:r>
    </w:p>
    <w:p w:rsidR="00000000" w:rsidDel="00000000" w:rsidP="00000000" w:rsidRDefault="00000000" w:rsidRPr="00000000" w14:paraId="0000005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Behavioral Traits:</w:t>
      </w:r>
      <w:r w:rsidDel="00000000" w:rsidR="00000000" w:rsidRPr="00000000">
        <w:rPr>
          <w:rtl w:val="0"/>
        </w:rPr>
        <w:t xml:space="preserve"> Previously active buyers who have ceased interaction, unsubscribed from email updates, or switched to competing platforms due to unaddressed friction points.</w:t>
      </w:r>
    </w:p>
    <w:p w:rsidR="00000000" w:rsidDel="00000000" w:rsidP="00000000" w:rsidRDefault="00000000" w:rsidRPr="00000000" w14:paraId="0000005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Demographic Tendencies:</w:t>
      </w:r>
      <w:r w:rsidDel="00000000" w:rsidR="00000000" w:rsidRPr="00000000">
        <w:rPr>
          <w:rtl w:val="0"/>
        </w:rPr>
        <w:t xml:space="preserve"> Broad demographic mix whose historical acquisition channels may no longer align with current brand positioning.</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Behavioral Trends &amp; Insights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Analysis of the simulated eCommerce dataset yields three vital strategic insights:</w:t>
      </w:r>
    </w:p>
    <w:p w:rsidR="00000000" w:rsidDel="00000000" w:rsidP="00000000" w:rsidRDefault="00000000" w:rsidRPr="00000000" w14:paraId="0000005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Pareto Principle Manifestation:</w:t>
      </w:r>
      <w:r w:rsidDel="00000000" w:rsidR="00000000" w:rsidRPr="00000000">
        <w:rPr>
          <w:rtl w:val="0"/>
        </w:rPr>
        <w:t xml:space="preserve"> High-Value Loyalists (12% of the user base) generate 42% of total revenue. Protecting this segment through exclusive experiences is critical to maintaining revenue stability.</w:t>
      </w:r>
    </w:p>
    <w:p w:rsidR="00000000" w:rsidDel="00000000" w:rsidP="00000000" w:rsidRDefault="00000000" w:rsidRPr="00000000" w14:paraId="0000005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Onboarding Conversion Gap:</w:t>
      </w:r>
      <w:r w:rsidDel="00000000" w:rsidR="00000000" w:rsidRPr="00000000">
        <w:rPr>
          <w:rtl w:val="0"/>
        </w:rPr>
        <w:t xml:space="preserve"> New Customers represent 18% of the base but currently exhibit a 35% retention rate. Bridging this gap through structured welcome sequences can immediately boost long-term profitability.</w:t>
      </w:r>
    </w:p>
    <w:p w:rsidR="00000000" w:rsidDel="00000000" w:rsidP="00000000" w:rsidRDefault="00000000" w:rsidRPr="00000000" w14:paraId="0000005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Leakage in the Browsing Funnel:</w:t>
      </w:r>
      <w:r w:rsidDel="00000000" w:rsidR="00000000" w:rsidRPr="00000000">
        <w:rPr>
          <w:rtl w:val="0"/>
        </w:rPr>
        <w:t xml:space="preserve"> Window Shoppers comprise nearly one-third (30%) of site visitors but contribute only 5% of revenue, highlighting severe drop-offs between product discovery and checkout completion.</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Visual Aids Structure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To effectively communicate these findings to executive stakeholders, the following visual structures are recommended for inclusion in the presentation deck:</w:t>
      </w:r>
    </w:p>
    <w:p w:rsidR="00000000" w:rsidDel="00000000" w:rsidP="00000000" w:rsidRDefault="00000000" w:rsidRPr="00000000" w14:paraId="0000005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Pie Chart – Revenue Distribution by Segment:</w:t>
      </w:r>
      <w:r w:rsidDel="00000000" w:rsidR="00000000" w:rsidRPr="00000000">
        <w:rPr>
          <w:rtl w:val="0"/>
        </w:rPr>
        <w:t xml:space="preserve"> Visually emphasizes that High-Value Loyalists (42%) and Occasional Shoppers (28%) dominate top-line performance, while Window Shoppers represent minimal revenue share despite high traffic.</w:t>
      </w:r>
    </w:p>
    <w:p w:rsidR="00000000" w:rsidDel="00000000" w:rsidP="00000000" w:rsidRDefault="00000000" w:rsidRPr="00000000" w14:paraId="0000005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Bar Chart – Average Order Value (AOV) Comparison:</w:t>
      </w:r>
      <w:r w:rsidDel="00000000" w:rsidR="00000000" w:rsidRPr="00000000">
        <w:rPr>
          <w:rtl w:val="0"/>
        </w:rPr>
        <w:t xml:space="preserve"> Highlights the stark contrast between High-Value Loyalists ($145.50) and Window Shoppers ($35.20).</w:t>
      </w:r>
    </w:p>
    <w:p w:rsidR="00000000" w:rsidDel="00000000" w:rsidP="00000000" w:rsidRDefault="00000000" w:rsidRPr="00000000" w14:paraId="0000005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Conversion Funnel – User Journey Mapping:</w:t>
      </w:r>
      <w:r w:rsidDel="00000000" w:rsidR="00000000" w:rsidRPr="00000000">
        <w:rPr>
          <w:rtl w:val="0"/>
        </w:rPr>
        <w:t xml:space="preserve"> Illustrates the drop-off from total Window Shopper traffic through New Customer acquisition to High-Value Loyalist retention.</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8. Marketing Recommendations for Each Segment</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High-Value Loyalists</w:t>
      </w:r>
    </w:p>
    <w:p w:rsidR="00000000" w:rsidDel="00000000" w:rsidP="00000000" w:rsidRDefault="00000000" w:rsidRPr="00000000" w14:paraId="0000006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Implement a VIP tier-based loyalty program offering early access to new product drops, free expedited shipping, and dedicated concierge customer support.</w:t>
      </w:r>
    </w:p>
    <w:p w:rsidR="00000000" w:rsidDel="00000000" w:rsidP="00000000" w:rsidRDefault="00000000" w:rsidRPr="00000000" w14:paraId="0000006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Deploy personalized cross-selling and up-selling recommendations driven by collaborative filtering and past purchase analytics.</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 Occasional Shoppers</w:t>
      </w:r>
    </w:p>
    <w:p w:rsidR="00000000" w:rsidDel="00000000" w:rsidP="00000000" w:rsidRDefault="00000000" w:rsidRPr="00000000" w14:paraId="0000006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Utilize automated email workflows offering bundle discounts and "complete the look" incentives to increase Average Order Value.</w:t>
      </w:r>
    </w:p>
    <w:p w:rsidR="00000000" w:rsidDel="00000000" w:rsidP="00000000" w:rsidRDefault="00000000" w:rsidRPr="00000000" w14:paraId="0000006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Introduce timed loyalty milestones (e.g., "Make one more purchase this quarter to unlock VIP status").</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 Window Shoppers</w:t>
      </w:r>
    </w:p>
    <w:p w:rsidR="00000000" w:rsidDel="00000000" w:rsidP="00000000" w:rsidRDefault="00000000" w:rsidRPr="00000000" w14:paraId="0000006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Deploy exit-intent pop-ups offering limited-time welcome incentives or free shipping thresholds to minimize cart abandonment.</w:t>
      </w:r>
    </w:p>
    <w:p w:rsidR="00000000" w:rsidDel="00000000" w:rsidP="00000000" w:rsidRDefault="00000000" w:rsidRPr="00000000" w14:paraId="0000006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Retarget site visitors with dynamic product ads on social media featuring user-generated content and social proof.</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8.4 New Customers</w:t>
      </w:r>
    </w:p>
    <w:p w:rsidR="00000000" w:rsidDel="00000000" w:rsidP="00000000" w:rsidRDefault="00000000" w:rsidRPr="00000000" w14:paraId="0000006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Execute an automated 3-part welcome email sequence highlighting brand values, product usage tips, and a second-purchase incentive valid within 14 days.</w:t>
      </w:r>
    </w:p>
    <w:p w:rsidR="00000000" w:rsidDel="00000000" w:rsidP="00000000" w:rsidRDefault="00000000" w:rsidRPr="00000000" w14:paraId="0000006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Ensure seamless post-purchase communication with proactive tracking updates and satisfaction surveys.</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 Dormant Customers</w:t>
      </w:r>
    </w:p>
    <w:p w:rsidR="00000000" w:rsidDel="00000000" w:rsidP="00000000" w:rsidRDefault="00000000" w:rsidRPr="00000000" w14:paraId="0000006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Launch targeted "We Miss You" win-back campaigns offering aggressive reactivation discounts (e.g., 20% off plus free shipping).</w:t>
      </w:r>
    </w:p>
    <w:p w:rsidR="00000000" w:rsidDel="00000000" w:rsidP="00000000" w:rsidRDefault="00000000" w:rsidRPr="00000000" w14:paraId="0000006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Conduct preference update surveys to re-engage interest and understand changing consumer needs.</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Conclusion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Implementing this structured Customer Behavior Analysis and Segmentation Strategy transitions the eCommerce operation from broad, generalized marketing to precision-targeted lifecycle engagement. By recognizing the distinct characteristics of High-Value Loyalists, nurturing New Customers past their initial purchase, and recovering Dormant accounts, the business can systematically optimize marketing ROI, enhance customer satisfaction, and secure long-term competitive advantage in the retail eCommerce sector.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