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080" w:right="1080" w:bottom="1080" w:left="108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Data Processing Agreement (Template)</w:t>
      </w:r>
    </w:p>
    <w:p>
      <w:pPr>
        <w:spacing w:lineRule="auto"/>
      </w:pPr>
      <w:r>
        <w:rPr/>
        <w:t xml:space="preserve">Between </w:t>
      </w:r>
      <w:r>
        <w:rPr>
          <w:b/>
        </w:rPr>
        <w:t xml:space="preserve">Washermann Africa Ltd</w:t>
      </w:r>
      <w:r>
        <w:rPr/>
        <w:t xml:space="preserve"> and the counterparty ("Processor" or "Controller" as applicable). Version date: </w:t>
      </w:r>
      <w:r>
        <w:rPr>
          <w:b/>
        </w:rPr>
        <w:t xml:space="preserve">September 1, 2026</w:t>
      </w:r>
    </w:p>
    <w:p>
      <w:pPr>
        <w:pStyle w:val="Heading2"/>
        <w:spacing w:lineRule="auto"/>
      </w:pPr>
      <w:r>
        <w:rPr/>
        <w:t xml:space="preserve">1. Definitions</w:t>
      </w:r>
    </w:p>
    <w:p>
      <w:pPr>
        <w:spacing w:lineRule="auto"/>
      </w:pPr>
      <w:r>
        <w:rPr/>
        <w:t xml:space="preserve">"Personal Data", "Processing", "Data Subject", "Controller", and "Processor" have the meanings in the </w:t>
      </w:r>
      <w:r>
        <w:rPr>
          <w:b/>
        </w:rPr>
        <w:t xml:space="preserve">Nigeria Data Protection Act 2023 (NDPA)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2. Roles &amp; scope</w:t>
      </w:r>
    </w:p>
    <w:p>
      <w:pPr>
        <w:numPr>
          <w:ilvl w:val="0"/>
          <w:numId w:val="1"/>
        </w:numPr>
        <w:spacing w:lineRule="auto"/>
      </w:pPr>
      <w:r>
        <w:rPr/>
        <w:t xml:space="preserve">The </w:t>
      </w:r>
      <w:r>
        <w:rPr>
          <w:b/>
        </w:rPr>
        <w:t xml:space="preserve">Controller</w:t>
      </w:r>
      <w:r>
        <w:rPr/>
        <w:t xml:space="preserve"> determines the purposes and means of processing; the </w:t>
      </w:r>
      <w:r>
        <w:rPr>
          <w:b/>
        </w:rPr>
        <w:t xml:space="preserve">Processor</w:t>
      </w:r>
      <w:r>
        <w:rPr/>
        <w:t xml:space="preserve"> processes Personal Data only on the Controller's documented instructions.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Subject matter:</w:t>
      </w:r>
      <w:r>
        <w:rPr/>
        <w:t xml:space="preserve"> provision of the Washermann laundry marketplace and related services.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Data subjects:</w:t>
      </w:r>
      <w:r>
        <w:rPr/>
        <w:t xml:space="preserve"> customers, employees (for B2B), vendors, reps.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Data types:</w:t>
      </w:r>
      <w:r>
        <w:rPr/>
        <w:t xml:space="preserve"> identity, contact, address &amp; location, order data, and (for payouts/KYC) financial and identity-document data.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Duration:</w:t>
      </w:r>
      <w:r>
        <w:rPr/>
        <w:t xml:space="preserve"> for the term of the underlying agreement.</w:t>
      </w:r>
    </w:p>
    <w:p>
      <w:pPr>
        <w:pStyle w:val="Heading2"/>
        <w:spacing w:lineRule="auto"/>
      </w:pPr>
      <w:r>
        <w:rPr/>
        <w:t xml:space="preserve">3. Processor obligations</w:t>
      </w:r>
    </w:p>
    <w:p>
      <w:pPr>
        <w:spacing w:lineRule="auto"/>
      </w:pPr>
      <w:r>
        <w:rPr/>
        <w:t xml:space="preserve">The Processor shall:</w:t>
      </w:r>
    </w:p>
    <w:p>
      <w:pPr>
        <w:numPr>
          <w:ilvl w:val="0"/>
          <w:numId w:val="2"/>
        </w:numPr>
        <w:spacing w:lineRule="auto"/>
      </w:pPr>
      <w:r>
        <w:rPr/>
        <w:t xml:space="preserve">process only on documented instructions and for the stated purposes;</w:t>
      </w:r>
    </w:p>
    <w:p>
      <w:pPr>
        <w:numPr>
          <w:ilvl w:val="0"/>
          <w:numId w:val="2"/>
        </w:numPr>
        <w:spacing w:lineRule="auto"/>
      </w:pPr>
      <w:r>
        <w:rPr/>
        <w:t xml:space="preserve">ensure persons authorised to process are bound by confidentiality;</w:t>
      </w:r>
    </w:p>
    <w:p>
      <w:pPr>
        <w:numPr>
          <w:ilvl w:val="0"/>
          <w:numId w:val="2"/>
        </w:numPr>
        <w:spacing w:lineRule="auto"/>
      </w:pPr>
      <w:r>
        <w:rPr/>
        <w:t xml:space="preserve">implement appropriate technical and organisational security measures (encryption in transit, access control, hashing of secrets, logging);</w:t>
      </w:r>
    </w:p>
    <w:p>
      <w:pPr>
        <w:numPr>
          <w:ilvl w:val="0"/>
          <w:numId w:val="2"/>
        </w:numPr>
        <w:spacing w:lineRule="auto"/>
      </w:pPr>
      <w:r>
        <w:rPr/>
        <w:t xml:space="preserve">not engage </w:t>
      </w:r>
      <w:r>
        <w:rPr>
          <w:b/>
        </w:rPr>
        <w:t xml:space="preserve">sub-processors</w:t>
      </w:r>
      <w:r>
        <w:rPr/>
        <w:t xml:space="preserve"> without general/specific authorisation, and flow down equivalent obligations;</w:t>
      </w:r>
    </w:p>
    <w:p>
      <w:pPr>
        <w:numPr>
          <w:ilvl w:val="0"/>
          <w:numId w:val="2"/>
        </w:numPr>
        <w:spacing w:lineRule="auto"/>
      </w:pPr>
      <w:r>
        <w:rPr/>
        <w:t xml:space="preserve">assist the Controller in responding to </w:t>
      </w:r>
      <w:r>
        <w:rPr>
          <w:b/>
        </w:rPr>
        <w:t xml:space="preserve">data-subject requests</w:t>
      </w:r>
      <w:r>
        <w:rPr/>
        <w:t xml:space="preserve"> (access, correction, deletion, objection, portability);</w:t>
      </w:r>
    </w:p>
    <w:p>
      <w:pPr>
        <w:numPr>
          <w:ilvl w:val="0"/>
          <w:numId w:val="2"/>
        </w:numPr>
        <w:spacing w:lineRule="auto"/>
      </w:pPr>
      <w:r>
        <w:rPr/>
        <w:t xml:space="preserve">assist with security, breach notification, and data-protection impact assessments;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notify the Controller without undue delay</w:t>
      </w:r>
      <w:r>
        <w:rPr/>
        <w:t xml:space="preserve"> on becoming aware of a personal-data breach;</w:t>
      </w:r>
    </w:p>
    <w:p>
      <w:pPr>
        <w:numPr>
          <w:ilvl w:val="0"/>
          <w:numId w:val="2"/>
        </w:numPr>
        <w:spacing w:lineRule="auto"/>
      </w:pPr>
      <w:r>
        <w:rPr/>
        <w:t xml:space="preserve">at the Controller's choice, </w:t>
      </w:r>
      <w:r>
        <w:rPr>
          <w:b/>
        </w:rPr>
        <w:t xml:space="preserve">delete or return</w:t>
      </w:r>
      <w:r>
        <w:rPr/>
        <w:t xml:space="preserve"> Personal Data at the end of the services, save where retention is legally required.</w:t>
      </w:r>
    </w:p>
    <w:p>
      <w:pPr>
        <w:pStyle w:val="Heading2"/>
        <w:spacing w:lineRule="auto"/>
      </w:pPr>
      <w:r>
        <w:rPr/>
        <w:t xml:space="preserve">4. International transfers</w:t>
      </w:r>
    </w:p>
    <w:p>
      <w:pPr>
        <w:spacing w:lineRule="auto"/>
      </w:pPr>
      <w:r>
        <w:rPr/>
        <w:t xml:space="preserve">Any transfer of Personal Data outside Nigeria will use a valid NDPA transfer mechanism (adequacy, appropriate safeguards, or consent).</w:t>
      </w:r>
    </w:p>
    <w:p>
      <w:pPr>
        <w:pStyle w:val="Heading2"/>
        <w:spacing w:lineRule="auto"/>
      </w:pPr>
      <w:r>
        <w:rPr/>
        <w:t xml:space="preserve">5. Sub-processors (current list for Washermann as processor)</w:t>
      </w:r>
    </w:p>
    <w:p>
      <w:pPr>
        <w:spacing w:lineRule="auto"/>
      </w:pPr>
      <w:r>
        <w:rPr/>
        <w:t xml:space="preserve">Paystack (payments), Cloudinary (media/document storage), Resend (email), Termii (SMS), Meta/WhatsApp (messaging), Google Firebase (push), and cloud hosting. The list may change with notice.</w:t>
      </w:r>
    </w:p>
    <w:p>
      <w:pPr>
        <w:pStyle w:val="Heading2"/>
        <w:spacing w:lineRule="auto"/>
      </w:pPr>
      <w:r>
        <w:rPr/>
        <w:t xml:space="preserve">6. Audits</w:t>
      </w:r>
    </w:p>
    <w:p>
      <w:pPr>
        <w:spacing w:lineRule="auto"/>
      </w:pPr>
      <w:r>
        <w:rPr/>
        <w:t xml:space="preserve">The Processor makes available information necessary to demonstrate compliance and allows reasonable audits, subject to confidentiality and notice.</w:t>
      </w:r>
    </w:p>
    <w:p>
      <w:pPr>
        <w:pStyle w:val="Heading2"/>
        <w:spacing w:lineRule="auto"/>
      </w:pPr>
      <w:r>
        <w:rPr/>
        <w:t xml:space="preserve">7. Liability &amp; term</w:t>
      </w:r>
    </w:p>
    <w:p>
      <w:pPr>
        <w:spacing w:lineRule="auto"/>
      </w:pPr>
      <w:r>
        <w:rPr/>
        <w:t xml:space="preserve">Liability is as set in the underlying agreement. This DPA runs for the duration of processing and survives as to confidentiality and deletion obligations.</w:t>
      </w:r>
    </w:p>
    <w:p>
      <w:pPr>
        <w:pStyle w:val="Heading2"/>
        <w:spacing w:lineRule="auto"/>
      </w:pPr>
      <w:r>
        <w:rPr/>
        <w:t xml:space="preserve">8. Governing law</w:t>
      </w:r>
    </w:p>
    <w:p>
      <w:pPr>
        <w:spacing w:lineRule="auto"/>
      </w:pPr>
      <w:r>
        <w:rPr/>
        <w:t xml:space="preserve">These terms are governed by the laws of the Federal Republic of Nigeria.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2026-09-20T10:56:42.802Z</dcterms:created>
  <dcterms:modified xsi:type="dcterms:W3CDTF">2026-09-20T10:56:42.802Z</dcterms:modified>
</cp:coreProperties>
</file>