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Company (B2B) Benefits Agreement</w:t>
      </w:r>
    </w:p>
    <w:p>
      <w:pPr>
        <w:spacing w:lineRule="auto"/>
      </w:pPr>
      <w:r>
        <w:rPr/>
        <w:t xml:space="preserve">Between </w:t>
      </w:r>
      <w:r>
        <w:rPr>
          <w:b/>
        </w:rPr>
        <w:t xml:space="preserve">Washermann Africa Ltd</w:t>
      </w:r>
      <w:r>
        <w:rPr/>
        <w:t xml:space="preserve"> ("Washermann") and the </w:t>
      </w:r>
      <w:r>
        <w:rPr>
          <w:b/>
        </w:rPr>
        <w:t xml:space="preserve">Company</w:t>
      </w:r>
      <w:r>
        <w:rPr/>
        <w:t xml:space="preserve"> accepting this Agreement. Effective on acceptance / signature. Version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Washermann provides the Company a facility to allocate laundry benefits ("Wash Credits" / plan tiers) to its designated employees, funded from the Company's Washermann wallet, with consolidated billing and reporting.</w:t>
      </w:r>
    </w:p>
    <w:p>
      <w:pPr>
        <w:pStyle w:val="Heading2"/>
        <w:spacing w:lineRule="auto"/>
      </w:pPr>
      <w:r>
        <w:rPr/>
        <w:t xml:space="preserve">2. Account &amp; authorised users</w:t>
      </w:r>
    </w:p>
    <w:p>
      <w:pPr>
        <w:numPr>
          <w:ilvl w:val="0"/>
          <w:numId w:val="1"/>
        </w:numPr>
        <w:spacing w:lineRule="auto"/>
      </w:pPr>
      <w:r>
        <w:rPr/>
        <w:t xml:space="preserve">The Company designates administrators who manage employees, tiers, allocations, and wallet top-ups.</w:t>
      </w:r>
    </w:p>
    <w:p>
      <w:pPr>
        <w:numPr>
          <w:ilvl w:val="0"/>
          <w:numId w:val="1"/>
        </w:numPr>
        <w:spacing w:lineRule="auto"/>
      </w:pPr>
      <w:r>
        <w:rPr/>
        <w:t xml:space="preserve">The Company is responsible for its administrators' actions and for keeping its employee list accurate.</w:t>
      </w:r>
    </w:p>
    <w:p>
      <w:pPr>
        <w:pStyle w:val="Heading2"/>
        <w:spacing w:lineRule="auto"/>
      </w:pPr>
      <w:r>
        <w:rPr/>
        <w:t xml:space="preserve">3. Wallet, top-ups &amp; billing</w:t>
      </w:r>
    </w:p>
    <w:p>
      <w:pPr>
        <w:numPr>
          <w:ilvl w:val="0"/>
          <w:numId w:val="2"/>
        </w:numPr>
        <w:spacing w:lineRule="auto"/>
      </w:pPr>
      <w:r>
        <w:rPr/>
        <w:t xml:space="preserve">The Company funds a wallet via the payment processor (Paystack). Allocations to employees draw from this wallet.</w:t>
      </w:r>
    </w:p>
    <w:p>
      <w:pPr>
        <w:numPr>
          <w:ilvl w:val="0"/>
          <w:numId w:val="2"/>
        </w:numPr>
        <w:spacing w:lineRule="auto"/>
      </w:pPr>
      <w:r>
        <w:rPr/>
        <w:t xml:space="preserve">Pricing of tiers/plans and any platform fees are as presented in the app or an accompanying order form.</w:t>
      </w:r>
    </w:p>
    <w:p>
      <w:pPr>
        <w:numPr>
          <w:ilvl w:val="0"/>
          <w:numId w:val="2"/>
        </w:numPr>
        <w:spacing w:lineRule="auto"/>
      </w:pPr>
      <w:r>
        <w:rPr/>
        <w:t xml:space="preserve">Unused allocations, roll-over, and expiry follow the plan rules shown in the app.</w:t>
      </w:r>
    </w:p>
    <w:p>
      <w:pPr>
        <w:pStyle w:val="Heading2"/>
        <w:spacing w:lineRule="auto"/>
      </w:pPr>
      <w:r>
        <w:rPr/>
        <w:t xml:space="preserve">4. Employees</w:t>
      </w:r>
    </w:p>
    <w:p>
      <w:pPr>
        <w:numPr>
          <w:ilvl w:val="0"/>
          <w:numId w:val="3"/>
        </w:numPr>
        <w:spacing w:lineRule="auto"/>
      </w:pPr>
      <w:r>
        <w:rPr/>
        <w:t xml:space="preserve">Employees use benefits subject to the </w:t>
      </w:r>
      <w:hyperlink r:id="rId6">
        <w:r>
          <w:rPr>
            <w:rStyle w:val="Hyperlink"/>
          </w:rPr>
          <w:t xml:space="preserve">Terms of Service</w:t>
        </w:r>
      </w:hyperlink>
      <w:r>
        <w:rPr/>
        <w:t xml:space="preserve">, </w:t>
      </w:r>
      <w:hyperlink r:id="rId7">
        <w:r>
          <w:rPr>
            <w:rStyle w:val="Hyperlink"/>
          </w:rPr>
          <w:t xml:space="preserve">WashPoints &amp; Wallet Terms</w:t>
        </w:r>
      </w:hyperlink>
      <w:r>
        <w:rPr/>
        <w:t xml:space="preserve">, and related policies.</w:t>
      </w:r>
    </w:p>
    <w:p>
      <w:pPr>
        <w:numPr>
          <w:ilvl w:val="0"/>
          <w:numId w:val="3"/>
        </w:numPr>
        <w:spacing w:lineRule="auto"/>
      </w:pPr>
      <w:r>
        <w:rPr/>
        <w:t xml:space="preserve">The Company confirms it has authority and a lawful basis to share employee data with Washermann and to enrol them (see §6).</w:t>
      </w:r>
    </w:p>
    <w:p>
      <w:pPr>
        <w:pStyle w:val="Heading2"/>
        <w:spacing w:lineRule="auto"/>
      </w:pPr>
      <w:r>
        <w:rPr/>
        <w:t xml:space="preserve">5. Reporting</w:t>
      </w:r>
    </w:p>
    <w:p>
      <w:pPr>
        <w:spacing w:lineRule="auto"/>
      </w:pPr>
      <w:r>
        <w:rPr/>
        <w:t xml:space="preserve">Washermann provides usage/activity reporting to the Company's administrators. Reporting is provided "as is" for the Company's internal use.</w:t>
      </w:r>
    </w:p>
    <w:p>
      <w:pPr>
        <w:pStyle w:val="Heading2"/>
        <w:spacing w:lineRule="auto"/>
      </w:pPr>
      <w:r>
        <w:rPr/>
        <w:t xml:space="preserve">6. Data protection (controller-to-controller / DPA)</w:t>
      </w:r>
    </w:p>
    <w:p>
      <w:pPr>
        <w:numPr>
          <w:ilvl w:val="0"/>
          <w:numId w:val="4"/>
        </w:numPr>
        <w:spacing w:lineRule="auto"/>
      </w:pPr>
      <w:r>
        <w:rPr/>
        <w:t xml:space="preserve">The Company shares employee personal data (identity, contact) to enable enrolment. Each party complies with the NDPA.</w:t>
      </w:r>
    </w:p>
    <w:p>
      <w:pPr>
        <w:numPr>
          <w:ilvl w:val="0"/>
          <w:numId w:val="4"/>
        </w:numPr>
        <w:spacing w:lineRule="auto"/>
      </w:pPr>
      <w:r>
        <w:rPr/>
        <w:t xml:space="preserve">Where Washermann processes employee data on the Company's behalf, the </w:t>
      </w:r>
      <w:hyperlink r:id="rId8">
        <w:r>
          <w:rPr>
            <w:rStyle w:val="Hyperlink"/>
          </w:rPr>
          <w:t xml:space="preserve">Data Processing Agreement</w:t>
        </w:r>
      </w:hyperlink>
      <w:r>
        <w:rPr/>
        <w:t xml:space="preserve"> applies and is incorporated. The Company is responsible for informing its employees and obtaining any required consents.</w:t>
      </w:r>
    </w:p>
    <w:p>
      <w:pPr>
        <w:pStyle w:val="Heading2"/>
        <w:spacing w:lineRule="auto"/>
      </w:pPr>
      <w:r>
        <w:rPr/>
        <w:t xml:space="preserve">7. Term, suspension &amp; termination</w:t>
      </w:r>
    </w:p>
    <w:p>
      <w:pPr>
        <w:numPr>
          <w:ilvl w:val="0"/>
          <w:numId w:val="5"/>
        </w:numPr>
        <w:spacing w:lineRule="auto"/>
      </w:pPr>
      <w:r>
        <w:rPr/>
        <w:t xml:space="preserve">The Agreement runs until terminated by either party on notice, or for breach/non-payment.</w:t>
      </w:r>
    </w:p>
    <w:p>
      <w:pPr>
        <w:numPr>
          <w:ilvl w:val="0"/>
          <w:numId w:val="5"/>
        </w:numPr>
        <w:spacing w:lineRule="auto"/>
      </w:pPr>
      <w:r>
        <w:rPr/>
        <w:t xml:space="preserve">On termination, any unused </w:t>
      </w:r>
      <w:r>
        <w:rPr>
          <w:b/>
        </w:rPr>
        <w:t xml:space="preserve">purchased</w:t>
      </w:r>
      <w:r>
        <w:rPr/>
        <w:t xml:space="preserve"> wallet value is refunded to the Company where required by law, or otherwise applied per the plan rules; promotional or bonus allocations are not refundable.</w:t>
      </w:r>
    </w:p>
    <w:p>
      <w:pPr>
        <w:pStyle w:val="Heading2"/>
        <w:spacing w:lineRule="auto"/>
      </w:pPr>
      <w:r>
        <w:rPr/>
        <w:t xml:space="preserve">8. Confidentiality</w:t>
      </w:r>
    </w:p>
    <w:p>
      <w:pPr>
        <w:spacing w:lineRule="auto"/>
      </w:pPr>
      <w:r>
        <w:rPr/>
        <w:t xml:space="preserve">Each party keeps the other's non-public information confidential.</w:t>
      </w:r>
    </w:p>
    <w:p>
      <w:pPr>
        <w:pStyle w:val="Heading2"/>
        <w:spacing w:lineRule="auto"/>
      </w:pPr>
      <w:r>
        <w:rPr/>
        <w:t xml:space="preserve">9. Liability</w:t>
      </w:r>
    </w:p>
    <w:p>
      <w:pPr>
        <w:spacing w:lineRule="auto"/>
      </w:pPr>
      <w:r>
        <w:rPr/>
        <w:t xml:space="preserve">Each party's liability is limited as set out in the </w:t>
      </w:r>
      <w:hyperlink r:id="rId9">
        <w:r>
          <w:rPr>
            <w:rStyle w:val="Hyperlink"/>
          </w:rPr>
          <w:t xml:space="preserve">Terms of Service</w:t>
        </w:r>
      </w:hyperlink>
      <w:r>
        <w:rPr/>
        <w:t xml:space="preserve">; neither is liable for indirect/consequential loss. Service levels, if any, are in the attached SLA.</w:t>
      </w:r>
    </w:p>
    <w:p>
      <w:pPr>
        <w:pStyle w:val="Heading2"/>
        <w:spacing w:lineRule="auto"/>
      </w:pPr>
      <w:r>
        <w:rPr/>
        <w:t xml:space="preserve">10. Governing law</w:t>
      </w:r>
    </w:p>
    <w:p>
      <w:pPr>
        <w:spacing w:lineRule="auto"/>
      </w:pPr>
      <w:r>
        <w:rPr/>
        <w:t xml:space="preserve">These terms are governed by the laws of the Federal Republic of Nigeria.</w:t>
      </w:r>
    </w:p>
    <w:p>
      <w:pPr>
        <w:pStyle w:val="Heading2"/>
        <w:spacing w:lineRule="auto"/>
      </w:pPr>
      <w:r>
        <w:rPr/>
        <w:t xml:space="preserve">11. Acceptance</w:t>
      </w:r>
    </w:p>
    <w:p>
      <w:pPr>
        <w:spacing w:lineRule="auto"/>
      </w:pPr>
      <w:r>
        <w:rPr/>
        <w:t xml:space="preserve">Accepted by the Company's authorised signatory / administrator (recorded with a timestamp) or by a signed order form.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washermann.com/legal/terms-of-service" TargetMode="External"/>
  <Relationship Id="rId7" Type="http://schemas.openxmlformats.org/officeDocument/2006/relationships/hyperlink" Target="https://www.washermann.com/legal/washpoints-wallet-terms" TargetMode="External"/>
  <Relationship Id="rId8" Type="http://schemas.openxmlformats.org/officeDocument/2006/relationships/hyperlink" Target="https://www.washermann.com/legal/data-processing-agreement" TargetMode="External"/>
  <Relationship Id="rId9" Type="http://schemas.openxmlformats.org/officeDocument/2006/relationships/hyperlink" Target="https://www.washermann.com/legal/terms-of-service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