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WashPoints &amp; Wallet Terms</w:t>
      </w:r>
    </w:p>
    <w:p>
      <w:pPr>
        <w:spacing w:lineRule="auto"/>
      </w:pPr>
      <w:r>
        <w:rPr>
          <w:b/>
        </w:rPr>
        <w:t xml:space="preserve">Washermann Africa Ltd</w:t>
      </w:r>
      <w:r>
        <w:rPr/>
        <w:t xml:space="preserve"> · Effective date: </w:t>
      </w:r>
      <w:r>
        <w:rPr>
          <w:b/>
        </w:rPr>
        <w:t xml:space="preserve">September 1, 2026</w:t>
      </w:r>
    </w:p>
    <w:p>
      <w:pPr>
        <w:pStyle w:val="Heading2"/>
        <w:spacing w:lineRule="auto"/>
      </w:pPr>
      <w:r>
        <w:rPr/>
        <w:t xml:space="preserve">1. What WashPoints are</w:t>
      </w:r>
    </w:p>
    <w:p>
      <w:pPr>
        <w:spacing w:lineRule="auto"/>
      </w:pPr>
      <w:r>
        <w:rPr/>
        <w:t xml:space="preserve">"WashPoints" (</w:t>
      </w:r>
      <w:r>
        <w:rPr>
          <w:b/>
        </w:rPr>
        <w:t xml:space="preserve">WP</w:t>
      </w:r>
      <w:r>
        <w:rPr/>
        <w:t xml:space="preserve">) are a </w:t>
      </w:r>
      <w:r>
        <w:rPr>
          <w:b/>
        </w:rPr>
        <w:t xml:space="preserve">prepaid, limited-purpose in-app unit</w:t>
      </w:r>
      <w:r>
        <w:rPr/>
        <w:t xml:space="preserve"> used to pay for laundry services on the Washermann Platform. WashPoints:</w:t>
      </w:r>
    </w:p>
    <w:p>
      <w:pPr>
        <w:numPr>
          <w:ilvl w:val="0"/>
          <w:numId w:val="1"/>
        </w:numPr>
        <w:spacing w:lineRule="auto"/>
      </w:pPr>
      <w:r>
        <w:rPr/>
        <w:t xml:space="preserve">are </w:t>
      </w:r>
      <w:r>
        <w:rPr>
          <w:b/>
        </w:rPr>
        <w:t xml:space="preserve">not legal tender, not a bank deposit, not e-money, and not a financial instrument</w:t>
      </w:r>
      <w:r>
        <w:rPr/>
        <w:t xml:space="preserve">;</w:t>
      </w:r>
    </w:p>
    <w:p>
      <w:pPr>
        <w:numPr>
          <w:ilvl w:val="0"/>
          <w:numId w:val="1"/>
        </w:numPr>
        <w:spacing w:lineRule="auto"/>
      </w:pPr>
      <w:r>
        <w:rPr/>
        <w:t xml:space="preserve">have </w:t>
      </w:r>
      <w:r>
        <w:rPr>
          <w:b/>
        </w:rPr>
        <w:t xml:space="preserve">no cash value outside the Platform</w:t>
      </w:r>
      <w:r>
        <w:rPr/>
        <w:t xml:space="preserve"> and are </w:t>
      </w:r>
      <w:r>
        <w:rPr>
          <w:b/>
        </w:rPr>
        <w:t xml:space="preserve">not redeemable for cash</w:t>
      </w:r>
      <w:r>
        <w:rPr/>
        <w:t xml:space="preserve"> by customers;</w:t>
      </w:r>
    </w:p>
    <w:p>
      <w:pPr>
        <w:numPr>
          <w:ilvl w:val="0"/>
          <w:numId w:val="1"/>
        </w:numPr>
        <w:spacing w:lineRule="auto"/>
      </w:pPr>
      <w:r>
        <w:rPr/>
        <w:t xml:space="preserve">can be used </w:t>
      </w:r>
      <w:r>
        <w:rPr>
          <w:b/>
        </w:rPr>
        <w:t xml:space="preserve">only</w:t>
      </w:r>
      <w:r>
        <w:rPr/>
        <w:t xml:space="preserve"> to pay for services offered on the Platform;</w:t>
      </w:r>
    </w:p>
    <w:p>
      <w:pPr>
        <w:numPr>
          <w:ilvl w:val="0"/>
          <w:numId w:val="1"/>
        </w:numPr>
        <w:spacing w:lineRule="auto"/>
      </w:pPr>
      <w:r>
        <w:rPr/>
        <w:t xml:space="preserve">are </w:t>
      </w:r>
      <w:r>
        <w:rPr>
          <w:b/>
        </w:rPr>
        <w:t xml:space="preserve">non-transferable</w:t>
      </w:r>
      <w:r>
        <w:rPr/>
        <w:t xml:space="preserve"> between customer accounts except via features we expressly provide (e.g. gift cards, company allocations).</w:t>
      </w:r>
    </w:p>
    <w:p>
      <w:pPr>
        <w:pStyle w:val="Heading2"/>
        <w:spacing w:lineRule="auto"/>
      </w:pPr>
      <w:r>
        <w:rPr/>
        <w:t xml:space="preserve">2. Buying WashPoints (top-ups)</w:t>
      </w:r>
    </w:p>
    <w:p>
      <w:pPr>
        <w:numPr>
          <w:ilvl w:val="0"/>
          <w:numId w:val="2"/>
        </w:numPr>
        <w:spacing w:lineRule="auto"/>
      </w:pPr>
      <w:r>
        <w:rPr/>
        <w:t xml:space="preserve">You purchase WP by topping up your wallet through our payment processor (</w:t>
      </w:r>
      <w:r>
        <w:rPr>
          <w:b/>
        </w:rPr>
        <w:t xml:space="preserve">Paystack</w:t>
      </w:r>
      <w:r>
        <w:rPr/>
        <w:t xml:space="preserve">) at the ₦-to-WP conversion rate displayed </w:t>
      </w:r>
      <w:r>
        <w:rPr>
          <w:b/>
        </w:rPr>
        <w:t xml:space="preserve">at the time of top-up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The rate is set by Washermann and </w:t>
      </w:r>
      <w:r>
        <w:rPr>
          <w:b/>
        </w:rPr>
        <w:t xml:space="preserve">may change over time</w:t>
      </w:r>
      <w:r>
        <w:rPr/>
        <w:t xml:space="preserve">; a change does not alter WP already credited to your wallet.</w:t>
      </w:r>
    </w:p>
    <w:p>
      <w:pPr>
        <w:numPr>
          <w:ilvl w:val="0"/>
          <w:numId w:val="2"/>
        </w:numPr>
        <w:spacing w:lineRule="auto"/>
      </w:pPr>
      <w:r>
        <w:rPr/>
        <w:t xml:space="preserve">WP are credited to your wallet only after the payment processor confirms a successful charge. A payment shown as "successful" by the processor but not yet confirmed to us may take time to reflect.</w:t>
      </w:r>
    </w:p>
    <w:p>
      <w:pPr>
        <w:numPr>
          <w:ilvl w:val="0"/>
          <w:numId w:val="2"/>
        </w:numPr>
        <w:spacing w:lineRule="auto"/>
      </w:pPr>
      <w:r>
        <w:rPr/>
        <w:t xml:space="preserve">Minimum/maximum top-up limits may apply.</w:t>
      </w:r>
    </w:p>
    <w:p>
      <w:pPr>
        <w:pStyle w:val="Heading2"/>
        <w:spacing w:lineRule="auto"/>
      </w:pPr>
      <w:r>
        <w:rPr/>
        <w:t xml:space="preserve">3. Using WashPoints</w:t>
      </w:r>
    </w:p>
    <w:p>
      <w:pPr>
        <w:numPr>
          <w:ilvl w:val="0"/>
          <w:numId w:val="3"/>
        </w:numPr>
        <w:spacing w:lineRule="auto"/>
      </w:pPr>
      <w:r>
        <w:rPr/>
        <w:t xml:space="preserve">When you place an order, the quoted WP amount is deducted from your wallet and </w:t>
      </w:r>
      <w:r>
        <w:rPr>
          <w:b/>
        </w:rPr>
        <w:t xml:space="preserve">held in escrow</w:t>
      </w:r>
      <w:r>
        <w:rPr/>
        <w:t xml:space="preserve">. The Naira you paid to buy WashPoints sits in a </w:t>
      </w:r>
      <w:r>
        <w:rPr>
          <w:b/>
        </w:rPr>
        <w:t xml:space="preserve">segregated customer-funds (trust) account with a licensed Nigerian bank</w:t>
      </w:r>
      <w:r>
        <w:rPr/>
        <w:t xml:space="preserve">, ring-fenced from Washermann's own operating funds and held on trust for customers, until an order completes.</w:t>
      </w:r>
    </w:p>
    <w:p>
      <w:pPr>
        <w:numPr>
          <w:ilvl w:val="0"/>
          <w:numId w:val="3"/>
        </w:numPr>
        <w:spacing w:lineRule="auto"/>
      </w:pPr>
      <w:r>
        <w:rPr/>
        <w:t xml:space="preserve">On successful completion, escrowed WP are released and split between the Vendor, the Rep, and Washermann per our internal allocation.</w:t>
      </w:r>
    </w:p>
    <w:p>
      <w:pPr>
        <w:numPr>
          <w:ilvl w:val="0"/>
          <w:numId w:val="3"/>
        </w:numPr>
        <w:spacing w:lineRule="auto"/>
      </w:pPr>
      <w:r>
        <w:rPr/>
        <w:t xml:space="preserve">If an order is cancelled or fails per the </w:t>
      </w:r>
      <w:hyperlink r:id="rId6">
        <w:r>
          <w:rPr>
            <w:rStyle w:val="Hyperlink"/>
          </w:rPr>
          <w:t xml:space="preserve">Refund, Cancellation &amp; Dispute Policy</w:t>
        </w:r>
      </w:hyperlink>
      <w:r>
        <w:rPr/>
        <w:t xml:space="preserve">, escrowed WP are returned to your wallet (or otherwise resolved as that policy provides).</w:t>
      </w:r>
    </w:p>
    <w:p>
      <w:pPr>
        <w:pStyle w:val="Heading2"/>
        <w:spacing w:lineRule="auto"/>
      </w:pPr>
      <w:r>
        <w:rPr/>
        <w:t xml:space="preserve">4. Earning WashPoints (rewards)</w:t>
      </w:r>
    </w:p>
    <w:p>
      <w:pPr>
        <w:spacing w:lineRule="auto"/>
      </w:pPr>
      <w:r>
        <w:rPr/>
        <w:t xml:space="preserve">You may receive WP through promotions, referrals, or company allocations. Reward WP:</w:t>
      </w:r>
    </w:p>
    <w:p>
      <w:pPr>
        <w:numPr>
          <w:ilvl w:val="0"/>
          <w:numId w:val="4"/>
        </w:numPr>
        <w:spacing w:lineRule="auto"/>
      </w:pPr>
      <w:r>
        <w:rPr/>
        <w:t xml:space="preserve">may be subject to conditions, caps, and expiry;</w:t>
      </w:r>
    </w:p>
    <w:p>
      <w:pPr>
        <w:numPr>
          <w:ilvl w:val="0"/>
          <w:numId w:val="4"/>
        </w:numPr>
        <w:spacing w:lineRule="auto"/>
      </w:pPr>
      <w:r>
        <w:rPr/>
        <w:t xml:space="preserve">may be </w:t>
      </w:r>
      <w:r>
        <w:rPr>
          <w:b/>
        </w:rPr>
        <w:t xml:space="preserve">withheld, adjusted, reversed, or forfeited</w:t>
      </w:r>
      <w:r>
        <w:rPr/>
        <w:t xml:space="preserve"> if obtained through error, abuse, fraud, or breach of the </w:t>
      </w:r>
      <w:hyperlink r:id="rId7">
        <w:r>
          <w:rPr>
            <w:rStyle w:val="Hyperlink"/>
          </w:rPr>
          <w:t xml:space="preserve">Referral Program Terms</w:t>
        </w:r>
      </w:hyperlink>
      <w:r>
        <w:rPr/>
        <w:t xml:space="preserve">;</w:t>
      </w:r>
    </w:p>
    <w:p>
      <w:pPr>
        <w:numPr>
          <w:ilvl w:val="0"/>
          <w:numId w:val="4"/>
        </w:numPr>
        <w:spacing w:lineRule="auto"/>
      </w:pPr>
      <w:r>
        <w:rPr/>
        <w:t xml:space="preserve">are governed by the terms in force </w:t>
      </w:r>
      <w:r>
        <w:rPr>
          <w:b/>
        </w:rPr>
        <w:t xml:space="preserve">when the reward is granted</w:t>
      </w:r>
      <w:r>
        <w:rPr/>
        <w:t xml:space="preserve">, which we may correct for demonstrable error.</w:t>
      </w:r>
    </w:p>
    <w:p>
      <w:pPr>
        <w:pStyle w:val="Heading2"/>
        <w:spacing w:lineRule="auto"/>
      </w:pPr>
      <w:r>
        <w:rPr/>
        <w:t xml:space="preserve">5. Wallet balance, expiry &amp; dormancy</w:t>
      </w:r>
    </w:p>
    <w:p>
      <w:pPr>
        <w:numPr>
          <w:ilvl w:val="0"/>
          <w:numId w:val="5"/>
        </w:numPr>
        <w:spacing w:lineRule="auto"/>
      </w:pPr>
      <w:r>
        <w:rPr/>
        <w:t xml:space="preserve">Your wallet shows your available WP balance and a ledger of movements.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Purchased WashPoints do not expire.</w:t>
      </w:r>
      <w:r>
        <w:rPr/>
        <w:t xml:space="preserve"> Promotional or reward WashPoints may carry an expiry, which we state when they are granted. We may treat a wallet as dormant after a prolonged period of inactivity, subject to notice and applicable consumer-protection law.</w:t>
      </w:r>
    </w:p>
    <w:p>
      <w:pPr>
        <w:numPr>
          <w:ilvl w:val="0"/>
          <w:numId w:val="5"/>
        </w:numPr>
        <w:spacing w:lineRule="auto"/>
      </w:pPr>
      <w:r>
        <w:rPr/>
        <w:t xml:space="preserve">We may place holds on WP where fraud, chargebacks, or disputes are suspected.</w:t>
      </w:r>
    </w:p>
    <w:p>
      <w:pPr>
        <w:pStyle w:val="Heading2"/>
        <w:spacing w:lineRule="auto"/>
      </w:pPr>
      <w:r>
        <w:rPr/>
        <w:t xml:space="preserve">6. No cash-out; refunds</w:t>
      </w:r>
    </w:p>
    <w:p>
      <w:pPr>
        <w:numPr>
          <w:ilvl w:val="0"/>
          <w:numId w:val="6"/>
        </w:numPr>
        <w:spacing w:lineRule="auto"/>
      </w:pPr>
      <w:r>
        <w:rPr/>
        <w:t xml:space="preserve">Customers </w:t>
      </w:r>
      <w:r>
        <w:rPr>
          <w:b/>
        </w:rPr>
        <w:t xml:space="preserve">cannot withdraw WP as cash.</w:t>
      </w:r>
      <w:r>
        <w:rPr/>
        <w:t xml:space="preserve"> WP is spent on services.</w:t>
      </w:r>
    </w:p>
    <w:p>
      <w:pPr>
        <w:numPr>
          <w:ilvl w:val="0"/>
          <w:numId w:val="6"/>
        </w:numPr>
        <w:spacing w:lineRule="auto"/>
      </w:pPr>
      <w:r>
        <w:rPr/>
        <w:t xml:space="preserve">Refunds, where due under the </w:t>
      </w:r>
      <w:hyperlink r:id="rId8">
        <w:r>
          <w:rPr>
            <w:rStyle w:val="Hyperlink"/>
          </w:rPr>
          <w:t xml:space="preserve">Refund, Cancellation &amp; Dispute Policy</w:t>
        </w:r>
      </w:hyperlink>
      <w:r>
        <w:rPr/>
        <w:t xml:space="preserve">, are ordinarily returned as </w:t>
      </w:r>
      <w:r>
        <w:rPr>
          <w:b/>
        </w:rPr>
        <w:t xml:space="preserve">WP to your wallet</w:t>
      </w:r>
      <w:r>
        <w:rPr/>
        <w:t xml:space="preserve">. Any cash refund (e.g. for a failed top-up that took money but delivered no WP) is made at our discretion and/or as required by law, back to the original payment method, and where the law requires a cash refund we will provide one.</w:t>
      </w:r>
    </w:p>
    <w:p>
      <w:pPr>
        <w:pStyle w:val="Heading2"/>
        <w:spacing w:lineRule="auto"/>
      </w:pPr>
      <w:r>
        <w:rPr/>
        <w:t xml:space="preserve">7. Vendor &amp; Rep earnings (separate)</w:t>
      </w:r>
    </w:p>
    <w:p>
      <w:pPr>
        <w:spacing w:lineRule="auto"/>
      </w:pPr>
      <w:r>
        <w:rPr/>
        <w:t xml:space="preserve">Vendors and Reps accrue </w:t>
      </w:r>
      <w:r>
        <w:rPr>
          <w:b/>
        </w:rPr>
        <w:t xml:space="preserve">earnings</w:t>
      </w:r>
      <w:r>
        <w:rPr/>
        <w:t xml:space="preserve"> for completed work, which are </w:t>
      </w:r>
      <w:r>
        <w:rPr>
          <w:b/>
        </w:rPr>
        <w:t xml:space="preserve">payable in Naira</w:t>
      </w:r>
      <w:r>
        <w:rPr/>
        <w:t xml:space="preserve"> to a verified bank account under their respective agreements (</w:t>
      </w:r>
      <w:hyperlink r:id="rId9">
        <w:r>
          <w:rPr>
            <w:rStyle w:val="Hyperlink"/>
          </w:rPr>
          <w:t xml:space="preserve">Vendor</w:t>
        </w:r>
      </w:hyperlink>
      <w:r>
        <w:rPr/>
        <w:t xml:space="preserve"> / </w:t>
      </w:r>
      <w:hyperlink r:id="rId10">
        <w:r>
          <w:rPr>
            <w:rStyle w:val="Hyperlink"/>
          </w:rPr>
          <w:t xml:space="preserve">Rep</w:t>
        </w:r>
      </w:hyperlink>
      <w:r>
        <w:rPr/>
        <w:t xml:space="preserve"> Agreements) and the </w:t>
      </w:r>
      <w:hyperlink r:id="rId11">
        <w:r>
          <w:rPr>
            <w:rStyle w:val="Hyperlink"/>
          </w:rPr>
          <w:t xml:space="preserve">Payment &amp; Billing Terms</w:t>
        </w:r>
      </w:hyperlink>
      <w:r>
        <w:rPr/>
        <w:t xml:space="preserve">. Vendor/Rep earnings are distinct from customer WashPoints.</w:t>
      </w:r>
    </w:p>
    <w:p>
      <w:pPr>
        <w:pStyle w:val="Heading2"/>
        <w:spacing w:lineRule="auto"/>
      </w:pPr>
      <w:r>
        <w:rPr/>
        <w:t xml:space="preserve">8. Errors &amp; corrections</w:t>
      </w:r>
    </w:p>
    <w:p>
      <w:pPr>
        <w:spacing w:lineRule="auto"/>
      </w:pPr>
      <w:r>
        <w:rPr/>
        <w:t xml:space="preserve">We may correct wallet, rate, reward, or ledger errors (including reversing WP credited in error), with notice where practicable.</w:t>
      </w:r>
    </w:p>
    <w:p>
      <w:pPr>
        <w:pStyle w:val="Heading2"/>
        <w:spacing w:lineRule="auto"/>
      </w:pPr>
      <w:r>
        <w:rPr/>
        <w:t xml:space="preserve">9. Suspension</w:t>
      </w:r>
    </w:p>
    <w:p>
      <w:pPr>
        <w:spacing w:lineRule="auto"/>
      </w:pPr>
      <w:r>
        <w:rPr/>
        <w:t xml:space="preserve">We may freeze a wallet or reverse WP in cases of suspected fraud, chargeback, dispute, or breach of the Terms.</w:t>
      </w:r>
    </w:p>
    <w:p>
      <w:pPr>
        <w:pStyle w:val="Heading2"/>
        <w:spacing w:lineRule="auto"/>
      </w:pPr>
      <w:r>
        <w:rPr/>
        <w:t xml:space="preserve">10. Changes</w:t>
      </w:r>
    </w:p>
    <w:p>
      <w:pPr>
        <w:spacing w:lineRule="auto"/>
      </w:pPr>
      <w:r>
        <w:rPr/>
        <w:t xml:space="preserve">We may amend these Terms and the conversion-rate mechanism prospectively, with notice for material changes.</w:t>
      </w:r>
    </w:p>
    <w:p>
      <w:pPr>
        <w:pStyle w:val="Heading2"/>
        <w:spacing w:lineRule="auto"/>
      </w:pPr>
      <w:r>
        <w:rPr/>
        <w:t xml:space="preserve">11. Contact</w:t>
      </w:r>
    </w:p>
    <w:p>
      <w:pPr>
        <w:spacing w:lineRule="auto"/>
      </w:pPr>
      <w:hyperlink r:id="rId12">
        <w:r>
          <w:rPr>
            <w:rStyle w:val="Hyperlink"/>
          </w:rPr>
          <w:t xml:space="preserve">support@washermann.com</w:t>
        </w:r>
      </w:hyperlink>
      <w:r>
        <w:rPr/>
        <w:t xml:space="preserve"> · Washermann Africa Ltd, 3202 Prayer Estate, Amuwo Odofin, Lagos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www.washermann.com/legal/refund-cancellation-dispute-policy" TargetMode="External"/>
  <Relationship Id="rId7" Type="http://schemas.openxmlformats.org/officeDocument/2006/relationships/hyperlink" Target="https://www.washermann.com/legal/referral-program-terms" TargetMode="External"/>
  <Relationship Id="rId8" Type="http://schemas.openxmlformats.org/officeDocument/2006/relationships/hyperlink" Target="https://www.washermann.com/legal/refund-cancellation-dispute-policy" TargetMode="External"/>
  <Relationship Id="rId9" Type="http://schemas.openxmlformats.org/officeDocument/2006/relationships/hyperlink" Target="https://www.washermann.com/legal/vendor-agreement" TargetMode="External"/>
  <Relationship Id="rId10" Type="http://schemas.openxmlformats.org/officeDocument/2006/relationships/hyperlink" Target="https://www.washermann.com/legal/rep-agreement" TargetMode="External"/>
  <Relationship Id="rId11" Type="http://schemas.openxmlformats.org/officeDocument/2006/relationships/hyperlink" Target="https://www.washermann.com/legal/payment-billing-terms" TargetMode="External"/>
  <Relationship Id="rId12" Type="http://schemas.openxmlformats.org/officeDocument/2006/relationships/hyperlink" Target="mailto:support@washermann.com" TargetMode="Ex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2026-09-20T10:56:42.802Z</dcterms:created>
  <dcterms:modified xsi:type="dcterms:W3CDTF">2026-09-20T10:56:42.802Z</dcterms:modified>
</cp:coreProperties>
</file>