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KYC &amp; AML Policy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This policy sets how Washermann verifies users and guards against fraud, money laundering, and terrorist financing, in line with applicable Nigerian law and our payment partners' requirements.</w:t>
      </w:r>
    </w:p>
    <w:p>
      <w:pPr>
        <w:pStyle w:val="Heading2"/>
        <w:spacing w:lineRule="auto"/>
      </w:pPr>
      <w:r>
        <w:rPr/>
        <w:t xml:space="preserve">2. Scope</w:t>
      </w:r>
    </w:p>
    <w:p>
      <w:pPr>
        <w:spacing w:lineRule="auto"/>
      </w:pPr>
      <w:r>
        <w:rPr/>
        <w:t xml:space="preserve">Applies to </w:t>
      </w:r>
      <w:r>
        <w:rPr>
          <w:b/>
        </w:rPr>
        <w:t xml:space="preserve">Vendors</w:t>
      </w:r>
      <w:r>
        <w:rPr/>
        <w:t xml:space="preserve"> and </w:t>
      </w:r>
      <w:r>
        <w:rPr>
          <w:b/>
        </w:rPr>
        <w:t xml:space="preserve">Reps</w:t>
      </w:r>
      <w:r>
        <w:rPr/>
        <w:t xml:space="preserve"> (who receive payouts) and, where relevant, high-value customer activity. Actual fund movement is performed by our licensed processor (</w:t>
      </w:r>
      <w:r>
        <w:rPr>
          <w:b/>
        </w:rPr>
        <w:t xml:space="preserve">Paystack</w:t>
      </w:r>
      <w:r>
        <w:rPr/>
        <w:t xml:space="preserve">), which applies its own regulated controls.</w:t>
      </w:r>
    </w:p>
    <w:p>
      <w:pPr>
        <w:pStyle w:val="Heading2"/>
        <w:spacing w:lineRule="auto"/>
      </w:pPr>
      <w:r>
        <w:rPr/>
        <w:t xml:space="preserve">3. Customer/user due diligence (KYC)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Customers:</w:t>
      </w:r>
      <w:r>
        <w:rPr/>
        <w:t xml:space="preserve"> account requires a verified phone/email; additional verification may be required for elevated activity.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Vendors:</w:t>
      </w:r>
      <w:r>
        <w:rPr/>
        <w:t xml:space="preserve"> must provide business details, a valid government-issued ID, proof of address, photographs, and </w:t>
      </w:r>
      <w:r>
        <w:rPr>
          <w:b/>
        </w:rPr>
        <w:t xml:space="preserve">bank account details</w:t>
      </w:r>
      <w:r>
        <w:rPr/>
        <w:t xml:space="preserve"> matched to the vendor before payout eligibility. Verification is reviewed by an administrator before activation.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Reps:</w:t>
      </w:r>
      <w:r>
        <w:rPr/>
        <w:t xml:space="preserve"> must provide identity details and verified bank account details before payout.</w:t>
      </w:r>
    </w:p>
    <w:p>
      <w:pPr>
        <w:numPr>
          <w:ilvl w:val="0"/>
          <w:numId w:val="1"/>
        </w:numPr>
        <w:spacing w:lineRule="auto"/>
      </w:pPr>
      <w:r>
        <w:rPr/>
        <w:t xml:space="preserve">We may re-verify at any time and may </w:t>
      </w:r>
      <w:r>
        <w:rPr>
          <w:b/>
        </w:rPr>
        <w:t xml:space="preserve">suspend or revert verification</w:t>
      </w:r>
      <w:r>
        <w:rPr/>
        <w:t xml:space="preserve"> where information is incomplete, inconsistent, or suspicious.</w:t>
      </w:r>
    </w:p>
    <w:p>
      <w:pPr>
        <w:pStyle w:val="Heading2"/>
        <w:spacing w:lineRule="auto"/>
      </w:pPr>
      <w:r>
        <w:rPr/>
        <w:t xml:space="preserve">4. Payout controls</w:t>
      </w:r>
    </w:p>
    <w:p>
      <w:pPr>
        <w:numPr>
          <w:ilvl w:val="0"/>
          <w:numId w:val="2"/>
        </w:numPr>
        <w:spacing w:lineRule="auto"/>
      </w:pPr>
      <w:r>
        <w:rPr/>
        <w:t xml:space="preserve">Payouts go only to a </w:t>
      </w:r>
      <w:r>
        <w:rPr>
          <w:b/>
        </w:rPr>
        <w:t xml:space="preserve">verified bank account</w:t>
      </w:r>
      <w:r>
        <w:rPr/>
        <w:t xml:space="preserve"> in the recipient's records.</w:t>
      </w:r>
    </w:p>
    <w:p>
      <w:pPr>
        <w:numPr>
          <w:ilvl w:val="0"/>
          <w:numId w:val="2"/>
        </w:numPr>
        <w:spacing w:lineRule="auto"/>
      </w:pPr>
      <w:r>
        <w:rPr/>
        <w:t xml:space="preserve">We apply thresholds, review, and anti-fraud checks; we may </w:t>
      </w:r>
      <w:r>
        <w:rPr>
          <w:b/>
        </w:rPr>
        <w:t xml:space="preserve">hold, delay, or decline</w:t>
      </w:r>
      <w:r>
        <w:rPr/>
        <w:t xml:space="preserve"> payouts pending checks, and reverse amounts linked to fraud, error, chargebacks, or disputes.</w:t>
      </w:r>
    </w:p>
    <w:p>
      <w:pPr>
        <w:pStyle w:val="Heading2"/>
        <w:spacing w:lineRule="auto"/>
      </w:pPr>
      <w:r>
        <w:rPr/>
        <w:t xml:space="preserve">5. Monitoring &amp; red flags</w:t>
      </w:r>
    </w:p>
    <w:p>
      <w:pPr>
        <w:spacing w:lineRule="auto"/>
      </w:pPr>
      <w:r>
        <w:rPr/>
        <w:t xml:space="preserve">We monitor for indicators such as: mismatched account/identity details, rapid top-up-and-refund cycles, referral/reward abuse, multiple accounts controlled by one party, structuring, and unusual patterns. Flagged activity may trigger review, suspension, and reporting.</w:t>
      </w:r>
    </w:p>
    <w:p>
      <w:pPr>
        <w:pStyle w:val="Heading2"/>
        <w:spacing w:lineRule="auto"/>
      </w:pPr>
      <w:r>
        <w:rPr/>
        <w:t xml:space="preserve">6. Record-keeping</w:t>
      </w:r>
    </w:p>
    <w:p>
      <w:pPr>
        <w:spacing w:lineRule="auto"/>
      </w:pPr>
      <w:r>
        <w:rPr/>
        <w:t xml:space="preserve">KYC records and transaction histories are retained for the periods required by law and our processors.</w:t>
      </w:r>
    </w:p>
    <w:p>
      <w:pPr>
        <w:pStyle w:val="Heading2"/>
        <w:spacing w:lineRule="auto"/>
      </w:pPr>
      <w:r>
        <w:rPr/>
        <w:t xml:space="preserve">7. Reporting &amp; cooperation</w:t>
      </w:r>
    </w:p>
    <w:p>
      <w:pPr>
        <w:spacing w:lineRule="auto"/>
      </w:pPr>
      <w:r>
        <w:rPr/>
        <w:t xml:space="preserve">We cooperate with lawful requests from regulators and law enforcement and will file reports required of us, including to the Nigerian Financial Intelligence Unit (NFIU) where applicable.</w:t>
      </w:r>
    </w:p>
    <w:p>
      <w:pPr>
        <w:pStyle w:val="Heading2"/>
        <w:spacing w:lineRule="auto"/>
      </w:pPr>
      <w:r>
        <w:rPr/>
        <w:t xml:space="preserve">8. Sanctions</w:t>
      </w:r>
    </w:p>
    <w:p>
      <w:pPr>
        <w:spacing w:lineRule="auto"/>
      </w:pPr>
      <w:r>
        <w:rPr/>
        <w:t xml:space="preserve">We do not knowingly transact with sanctioned persons/entities and screen where required.</w:t>
      </w:r>
    </w:p>
    <w:p>
      <w:pPr>
        <w:pStyle w:val="Heading2"/>
        <w:spacing w:lineRule="auto"/>
      </w:pPr>
      <w:r>
        <w:rPr/>
        <w:t xml:space="preserve">9. Governance</w:t>
      </w:r>
    </w:p>
    <w:p>
      <w:pPr>
        <w:spacing w:lineRule="auto"/>
      </w:pPr>
      <w:r>
        <w:rPr/>
        <w:t xml:space="preserve">This policy is owned by Washermann Africa Ltd management, reviewed periodically, and updated as the business and law evolve.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