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9000000">
      <w:pPr>
        <w:spacing w:after="0" w:before="0"/>
        <w:ind w:firstLine="0" w:left="0" w:right="0"/>
        <w:rPr>
          <w:rFonts w:ascii="Times New Roman" w:hAnsi="Times New Roman"/>
          <w:b w:val="1"/>
          <w:sz w:val="44"/>
        </w:rPr>
      </w:pPr>
      <w:r>
        <w:rPr>
          <w:rFonts w:ascii="Times New Roman" w:hAnsi="Times New Roman"/>
          <w:b w:val="1"/>
          <w:sz w:val="44"/>
        </w:rPr>
        <w:t>ИССЛЕДОВАТЕЛЬСКАЯ СТАТЬЯ</w:t>
      </w:r>
    </w:p>
    <w:p w14:paraId="0A000000">
      <w:pPr>
        <w:spacing w:after="270" w:before="270"/>
        <w:ind w:firstLine="0" w:left="0" w:right="0"/>
        <w:rPr>
          <w:rFonts w:ascii="Times New Roman" w:hAnsi="Times New Roman"/>
          <w:b w:val="1"/>
          <w:sz w:val="28"/>
        </w:rPr>
      </w:pPr>
    </w:p>
    <w:p w14:paraId="0B000000">
      <w:pPr>
        <w:spacing w:after="270" w:before="270"/>
        <w:ind w:firstLine="0" w:left="0" w:right="0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Контроль качества сварных соединений при сварке плавящимся электродом с традиционной и двухструйной газовой защитой</w:t>
      </w:r>
    </w:p>
    <w:p w14:paraId="0C000000">
      <w:pPr>
        <w:spacing w:after="0" w:before="0"/>
        <w:ind w:firstLine="0" w:left="0" w:right="0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Автор: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t>Муллаяров Денис Ринатович</w:t>
      </w:r>
    </w:p>
    <w:p w14:paraId="0D000000">
      <w:pPr>
        <w:spacing w:after="0" w:before="0"/>
        <w:ind w:firstLine="0" w:left="0" w:right="0"/>
        <w:rPr>
          <w:rFonts w:ascii="Times New Roman" w:hAnsi="Times New Roman"/>
          <w:b w:val="0"/>
          <w:sz w:val="28"/>
        </w:rPr>
      </w:pPr>
    </w:p>
    <w:p w14:paraId="0E000000">
      <w:pPr>
        <w:spacing w:after="0" w:before="0"/>
        <w:ind w:firstLine="0" w:left="0" w:right="0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Область исследования: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t>Сварочные процессы и оборудование, технология машиностроения</w:t>
      </w:r>
    </w:p>
    <w:p w14:paraId="0F000000">
      <w:pPr>
        <w:spacing w:after="0" w:before="0"/>
        <w:ind w:firstLine="0" w:left="0" w:right="0"/>
        <w:rPr>
          <w:rFonts w:ascii="Times New Roman" w:hAnsi="Times New Roman"/>
          <w:b w:val="0"/>
          <w:sz w:val="28"/>
        </w:rPr>
      </w:pPr>
    </w:p>
    <w:p w14:paraId="10000000">
      <w:pPr>
        <w:spacing w:after="0" w:before="0"/>
        <w:ind w:firstLine="0" w:left="0" w:right="0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Ключевые слова: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t>сварка плавящимся электродом, газовая защита, двухструйная защита, геометрические параметры шва, макрошлифы, качество сварных соединений</w:t>
      </w:r>
    </w:p>
    <w:p w14:paraId="11000000">
      <w:pPr>
        <w:spacing w:after="0" w:before="0"/>
        <w:ind w:firstLine="0" w:left="0" w:right="0"/>
        <w:rPr>
          <w:rFonts w:ascii="Times New Roman" w:hAnsi="Times New Roman"/>
          <w:b w:val="0"/>
          <w:sz w:val="28"/>
        </w:rPr>
      </w:pPr>
    </w:p>
    <w:p w14:paraId="12000000">
      <w:pPr>
        <w:spacing w:after="0" w:before="0"/>
        <w:ind w:firstLine="0" w:left="0" w:right="0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Дата публикации:</w:t>
      </w:r>
      <w:r>
        <w:rPr>
          <w:rFonts w:ascii="Times New Roman" w:hAnsi="Times New Roman"/>
          <w:sz w:val="28"/>
        </w:rPr>
        <w:t xml:space="preserve"> Май</w:t>
      </w:r>
      <w:r>
        <w:rPr>
          <w:rFonts w:ascii="Times New Roman" w:hAnsi="Times New Roman"/>
          <w:sz w:val="28"/>
        </w:rPr>
        <w:t xml:space="preserve"> 20</w:t>
      </w:r>
      <w:r>
        <w:rPr>
          <w:rFonts w:ascii="Times New Roman" w:hAnsi="Times New Roman"/>
          <w:b w:val="0"/>
          <w:sz w:val="28"/>
        </w:rPr>
        <w:t>21</w:t>
      </w:r>
    </w:p>
    <w:p w14:paraId="13000000">
      <w:pPr>
        <w:rPr>
          <w:rFonts w:ascii="Times New Roman" w:hAnsi="Times New Roman"/>
          <w:b w:val="1"/>
          <w:sz w:val="28"/>
        </w:rPr>
      </w:pPr>
    </w:p>
    <w:p w14:paraId="14000000">
      <w:pPr>
        <w:rPr>
          <w:rFonts w:ascii="Times New Roman" w:hAnsi="Times New Roman"/>
          <w:b w:val="1"/>
          <w:sz w:val="28"/>
        </w:rPr>
      </w:pPr>
    </w:p>
    <w:p w14:paraId="15000000">
      <w:pPr>
        <w:rPr>
          <w:rFonts w:ascii="Times New Roman" w:hAnsi="Times New Roman"/>
          <w:b w:val="1"/>
          <w:sz w:val="28"/>
        </w:rPr>
      </w:pPr>
    </w:p>
    <w:p w14:paraId="16000000">
      <w:pPr>
        <w:rPr>
          <w:rFonts w:ascii="Times New Roman" w:hAnsi="Times New Roman"/>
          <w:b w:val="1"/>
          <w:sz w:val="28"/>
        </w:rPr>
      </w:pPr>
    </w:p>
    <w:p w14:paraId="17000000">
      <w:pPr>
        <w:rPr>
          <w:rFonts w:ascii="Times New Roman" w:hAnsi="Times New Roman"/>
          <w:b w:val="1"/>
          <w:sz w:val="28"/>
        </w:rPr>
      </w:pPr>
    </w:p>
    <w:p w14:paraId="18000000">
      <w:pPr>
        <w:rPr>
          <w:rFonts w:ascii="Times New Roman" w:hAnsi="Times New Roman"/>
          <w:b w:val="1"/>
          <w:sz w:val="28"/>
        </w:rPr>
      </w:pPr>
    </w:p>
    <w:p w14:paraId="19000000">
      <w:pPr>
        <w:rPr>
          <w:rFonts w:ascii="Times New Roman" w:hAnsi="Times New Roman"/>
          <w:b w:val="1"/>
          <w:sz w:val="28"/>
        </w:rPr>
      </w:pPr>
    </w:p>
    <w:p w14:paraId="1A000000">
      <w:pPr>
        <w:rPr>
          <w:rFonts w:ascii="Times New Roman" w:hAnsi="Times New Roman"/>
          <w:b w:val="1"/>
          <w:sz w:val="28"/>
        </w:rPr>
      </w:pPr>
    </w:p>
    <w:p w14:paraId="1B000000">
      <w:pPr>
        <w:rPr>
          <w:rFonts w:ascii="Times New Roman" w:hAnsi="Times New Roman"/>
          <w:b w:val="1"/>
          <w:sz w:val="28"/>
        </w:rPr>
      </w:pPr>
    </w:p>
    <w:p w14:paraId="1C000000">
      <w:pPr>
        <w:rPr>
          <w:rFonts w:ascii="Times New Roman" w:hAnsi="Times New Roman"/>
          <w:b w:val="1"/>
          <w:sz w:val="28"/>
        </w:rPr>
      </w:pPr>
    </w:p>
    <w:p w14:paraId="1D000000">
      <w:pPr>
        <w:rPr>
          <w:rFonts w:ascii="Times New Roman" w:hAnsi="Times New Roman"/>
          <w:b w:val="1"/>
          <w:sz w:val="28"/>
        </w:rPr>
      </w:pPr>
    </w:p>
    <w:p w14:paraId="1E000000">
      <w:pPr>
        <w:rPr>
          <w:rFonts w:ascii="Times New Roman" w:hAnsi="Times New Roman"/>
          <w:b w:val="1"/>
          <w:sz w:val="28"/>
        </w:rPr>
      </w:pPr>
    </w:p>
    <w:p w14:paraId="1F000000">
      <w:pPr>
        <w:rPr>
          <w:rFonts w:ascii="Times New Roman" w:hAnsi="Times New Roman"/>
          <w:b w:val="1"/>
          <w:sz w:val="28"/>
        </w:rPr>
      </w:pPr>
    </w:p>
    <w:p w14:paraId="20000000">
      <w:pPr>
        <w:rPr>
          <w:rFonts w:ascii="Times New Roman" w:hAnsi="Times New Roman"/>
          <w:b w:val="1"/>
          <w:sz w:val="28"/>
        </w:rPr>
      </w:pPr>
    </w:p>
    <w:p w14:paraId="21000000">
      <w:pPr>
        <w:rPr>
          <w:rFonts w:ascii="Times New Roman" w:hAnsi="Times New Roman"/>
          <w:b w:val="1"/>
          <w:sz w:val="28"/>
        </w:rPr>
      </w:pPr>
    </w:p>
    <w:p w14:paraId="22000000">
      <w:pPr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СОДЕРЖАНИЕ</w:t>
      </w:r>
    </w:p>
    <w:p w14:paraId="23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Введение ...............................................................................................................3-5</w:t>
      </w:r>
    </w:p>
    <w:p w14:paraId="24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1. Методика проведения эксперимента .............................................................5</w:t>
      </w:r>
    </w:p>
    <w:p w14:paraId="25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2. Методика определения геометрических параметров шва .............................6</w:t>
      </w:r>
    </w:p>
    <w:p w14:paraId="26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 Проведение испытаний и обработка результатов исследования ...............7-9</w:t>
      </w:r>
    </w:p>
    <w:p w14:paraId="27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Заключение ............................................................................................................9</w:t>
      </w:r>
    </w:p>
    <w:p w14:paraId="28000000">
      <w:pPr>
        <w:pStyle w:val="Style_2"/>
        <w:ind/>
        <w:jc w:val="left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sz w:val="28"/>
        </w:rPr>
        <w:t>Список использованной литературы .............................................................</w:t>
      </w:r>
      <w:r>
        <w:rPr>
          <w:rFonts w:ascii="Times New Roman" w:hAnsi="Times New Roman"/>
          <w:b w:val="0"/>
          <w:sz w:val="28"/>
        </w:rPr>
        <w:t>10-11</w:t>
      </w:r>
    </w:p>
    <w:p w14:paraId="29000000">
      <w:pPr>
        <w:pStyle w:val="Style_2"/>
        <w:ind/>
        <w:jc w:val="left"/>
        <w:rPr>
          <w:rFonts w:ascii="Times New Roman" w:hAnsi="Times New Roman"/>
          <w:b w:val="1"/>
          <w:sz w:val="28"/>
        </w:rPr>
      </w:pPr>
    </w:p>
    <w:p w14:paraId="2A000000">
      <w:pPr>
        <w:pStyle w:val="Style_2"/>
        <w:ind/>
        <w:jc w:val="left"/>
        <w:rPr>
          <w:rFonts w:ascii="Times New Roman" w:hAnsi="Times New Roman"/>
          <w:b w:val="1"/>
          <w:sz w:val="28"/>
        </w:rPr>
      </w:pPr>
    </w:p>
    <w:p w14:paraId="2B000000">
      <w:pPr>
        <w:pStyle w:val="Style_2"/>
        <w:ind/>
        <w:jc w:val="left"/>
        <w:rPr>
          <w:rFonts w:ascii="Times New Roman" w:hAnsi="Times New Roman"/>
          <w:b w:val="1"/>
          <w:sz w:val="28"/>
        </w:rPr>
      </w:pPr>
    </w:p>
    <w:p w14:paraId="2C000000">
      <w:pPr>
        <w:pStyle w:val="Style_2"/>
        <w:ind/>
        <w:jc w:val="left"/>
        <w:rPr>
          <w:rFonts w:ascii="Times New Roman" w:hAnsi="Times New Roman"/>
          <w:b w:val="1"/>
          <w:sz w:val="28"/>
        </w:rPr>
      </w:pPr>
    </w:p>
    <w:p w14:paraId="2D000000">
      <w:pPr>
        <w:pStyle w:val="Style_2"/>
        <w:ind/>
        <w:jc w:val="left"/>
        <w:rPr>
          <w:rFonts w:ascii="Times New Roman" w:hAnsi="Times New Roman"/>
          <w:b w:val="1"/>
          <w:sz w:val="28"/>
        </w:rPr>
      </w:pPr>
    </w:p>
    <w:p w14:paraId="2E000000">
      <w:pPr>
        <w:pStyle w:val="Style_2"/>
        <w:ind/>
        <w:jc w:val="left"/>
        <w:rPr>
          <w:rFonts w:ascii="Times New Roman" w:hAnsi="Times New Roman"/>
          <w:b w:val="1"/>
          <w:sz w:val="28"/>
        </w:rPr>
      </w:pPr>
    </w:p>
    <w:p w14:paraId="2F000000">
      <w:pPr>
        <w:pStyle w:val="Style_2"/>
        <w:ind/>
        <w:jc w:val="left"/>
        <w:rPr>
          <w:rFonts w:ascii="Times New Roman" w:hAnsi="Times New Roman"/>
          <w:b w:val="1"/>
          <w:sz w:val="28"/>
        </w:rPr>
      </w:pPr>
    </w:p>
    <w:p w14:paraId="30000000">
      <w:pPr>
        <w:pStyle w:val="Style_2"/>
        <w:ind/>
        <w:jc w:val="left"/>
        <w:rPr>
          <w:rFonts w:ascii="Times New Roman" w:hAnsi="Times New Roman"/>
          <w:b w:val="1"/>
          <w:sz w:val="28"/>
        </w:rPr>
      </w:pPr>
    </w:p>
    <w:p w14:paraId="31000000">
      <w:pPr>
        <w:pStyle w:val="Style_2"/>
        <w:ind/>
        <w:jc w:val="left"/>
        <w:rPr>
          <w:rFonts w:ascii="Times New Roman" w:hAnsi="Times New Roman"/>
          <w:b w:val="1"/>
          <w:sz w:val="28"/>
        </w:rPr>
      </w:pPr>
    </w:p>
    <w:p w14:paraId="32000000">
      <w:pPr>
        <w:pStyle w:val="Style_2"/>
        <w:ind/>
        <w:jc w:val="left"/>
        <w:rPr>
          <w:rFonts w:ascii="Times New Roman" w:hAnsi="Times New Roman"/>
          <w:b w:val="1"/>
          <w:sz w:val="28"/>
        </w:rPr>
      </w:pPr>
    </w:p>
    <w:p w14:paraId="33000000">
      <w:pPr>
        <w:pStyle w:val="Style_2"/>
        <w:ind/>
        <w:jc w:val="left"/>
        <w:rPr>
          <w:rFonts w:ascii="Times New Roman" w:hAnsi="Times New Roman"/>
          <w:b w:val="1"/>
          <w:sz w:val="28"/>
        </w:rPr>
      </w:pPr>
    </w:p>
    <w:p w14:paraId="34000000">
      <w:pPr>
        <w:pStyle w:val="Style_2"/>
        <w:ind/>
        <w:jc w:val="left"/>
        <w:rPr>
          <w:rFonts w:ascii="Times New Roman" w:hAnsi="Times New Roman"/>
          <w:b w:val="1"/>
          <w:sz w:val="28"/>
        </w:rPr>
      </w:pPr>
    </w:p>
    <w:p w14:paraId="35000000">
      <w:pPr>
        <w:pStyle w:val="Style_2"/>
        <w:ind/>
        <w:jc w:val="left"/>
        <w:rPr>
          <w:rFonts w:ascii="Times New Roman" w:hAnsi="Times New Roman"/>
          <w:b w:val="1"/>
          <w:sz w:val="28"/>
        </w:rPr>
      </w:pPr>
    </w:p>
    <w:p w14:paraId="36000000">
      <w:pPr>
        <w:pStyle w:val="Style_2"/>
        <w:ind/>
        <w:jc w:val="left"/>
        <w:rPr>
          <w:rFonts w:ascii="Times New Roman" w:hAnsi="Times New Roman"/>
          <w:b w:val="1"/>
          <w:sz w:val="28"/>
        </w:rPr>
      </w:pPr>
    </w:p>
    <w:p w14:paraId="37000000">
      <w:pPr>
        <w:pStyle w:val="Style_2"/>
        <w:ind/>
        <w:jc w:val="left"/>
        <w:rPr>
          <w:rFonts w:ascii="Times New Roman" w:hAnsi="Times New Roman"/>
          <w:b w:val="1"/>
          <w:sz w:val="28"/>
        </w:rPr>
      </w:pPr>
    </w:p>
    <w:p w14:paraId="38000000">
      <w:pPr>
        <w:pStyle w:val="Style_2"/>
        <w:ind/>
        <w:jc w:val="left"/>
        <w:rPr>
          <w:rFonts w:ascii="Times New Roman" w:hAnsi="Times New Roman"/>
          <w:b w:val="1"/>
          <w:sz w:val="28"/>
        </w:rPr>
      </w:pPr>
    </w:p>
    <w:p w14:paraId="39000000">
      <w:pPr>
        <w:pStyle w:val="Style_2"/>
        <w:ind/>
        <w:jc w:val="left"/>
        <w:rPr>
          <w:rFonts w:ascii="Times New Roman" w:hAnsi="Times New Roman"/>
          <w:b w:val="1"/>
          <w:sz w:val="28"/>
        </w:rPr>
      </w:pPr>
    </w:p>
    <w:p w14:paraId="3A000000">
      <w:pPr>
        <w:pStyle w:val="Style_2"/>
        <w:ind/>
        <w:jc w:val="left"/>
        <w:rPr>
          <w:rFonts w:ascii="Times New Roman" w:hAnsi="Times New Roman"/>
          <w:b w:val="1"/>
          <w:sz w:val="28"/>
        </w:rPr>
      </w:pPr>
    </w:p>
    <w:p w14:paraId="3B000000">
      <w:pPr>
        <w:pStyle w:val="Style_2"/>
        <w:ind/>
        <w:jc w:val="left"/>
        <w:rPr>
          <w:rFonts w:ascii="Times New Roman" w:hAnsi="Times New Roman"/>
          <w:b w:val="1"/>
          <w:sz w:val="28"/>
        </w:rPr>
      </w:pPr>
    </w:p>
    <w:p w14:paraId="3C000000">
      <w:pPr>
        <w:pStyle w:val="Style_2"/>
        <w:ind/>
        <w:jc w:val="left"/>
        <w:rPr>
          <w:rFonts w:ascii="Times New Roman" w:hAnsi="Times New Roman"/>
          <w:b w:val="1"/>
          <w:sz w:val="28"/>
        </w:rPr>
      </w:pPr>
    </w:p>
    <w:p w14:paraId="3D000000">
      <w:pPr>
        <w:pStyle w:val="Style_2"/>
        <w:ind/>
        <w:jc w:val="left"/>
        <w:rPr>
          <w:rFonts w:ascii="Times New Roman" w:hAnsi="Times New Roman"/>
          <w:b w:val="1"/>
          <w:sz w:val="28"/>
        </w:rPr>
      </w:pPr>
    </w:p>
    <w:p w14:paraId="3E000000">
      <w:pPr>
        <w:pStyle w:val="Style_2"/>
        <w:ind/>
        <w:jc w:val="left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Введение</w:t>
      </w:r>
    </w:p>
    <w:p w14:paraId="3F000000">
      <w:pPr>
        <w:pStyle w:val="Style_2"/>
        <w:ind/>
        <w:jc w:val="left"/>
        <w:rPr>
          <w:rFonts w:ascii="Times New Roman" w:hAnsi="Times New Roman"/>
          <w:sz w:val="28"/>
        </w:rPr>
      </w:pPr>
    </w:p>
    <w:p w14:paraId="40000000">
      <w:pPr>
        <w:pStyle w:val="Style_2"/>
        <w:ind/>
        <w:jc w:val="left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Актуальность исследования</w:t>
      </w:r>
    </w:p>
    <w:p w14:paraId="41000000">
      <w:pPr>
        <w:pStyle w:val="Style_2"/>
        <w:ind/>
        <w:jc w:val="left"/>
        <w:rPr>
          <w:rFonts w:ascii="Times New Roman" w:hAnsi="Times New Roman"/>
          <w:sz w:val="28"/>
        </w:rPr>
      </w:pPr>
    </w:p>
    <w:p w14:paraId="42000000">
      <w:pPr>
        <w:pStyle w:val="Style_2"/>
        <w:ind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Сварка плавящимся электродом в защитных газах (MIG/MAG) — один из ключевых процессов в современном машиностроении, строительстве и энергетике. Качество сварных соединений напрямую определяет надёжность конструкций, а эффективность процесса — экономические показатели производства. В условиях растущих требований к качеству и необходимости снижения себестоимости, оптимизация режимов сварки приобретает особую значимость.</w:t>
      </w:r>
    </w:p>
    <w:p w14:paraId="43000000">
      <w:pPr>
        <w:pStyle w:val="Style_2"/>
        <w:ind/>
        <w:jc w:val="left"/>
        <w:rPr>
          <w:rFonts w:ascii="Times New Roman" w:hAnsi="Times New Roman"/>
          <w:sz w:val="28"/>
        </w:rPr>
      </w:pPr>
    </w:p>
    <w:p w14:paraId="44000000">
      <w:pPr>
        <w:pStyle w:val="Style_2"/>
        <w:ind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Проблема потерь металла при сварке остаётся одной из наиболее острых. Угар легирующих элементов и разбрызгивание электродной проволоки приводят к перерасходу материалов, увеличению трудоемкости последующей обработки и снижению производительности. При серийном производстве даже незначительное снижение потерь даёт существенный экономический эффект.</w:t>
      </w:r>
    </w:p>
    <w:p w14:paraId="45000000">
      <w:pPr>
        <w:pStyle w:val="Style_2"/>
        <w:ind/>
        <w:jc w:val="left"/>
        <w:rPr>
          <w:rFonts w:ascii="Times New Roman" w:hAnsi="Times New Roman"/>
          <w:sz w:val="28"/>
        </w:rPr>
      </w:pPr>
    </w:p>
    <w:p w14:paraId="46000000">
      <w:pPr>
        <w:pStyle w:val="Style_2"/>
        <w:ind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Состав защитной смеси (традиционно Ar + CO2, где доля CO2 варьируется в пределах 8–25%) определяет баланс между качеством шва и технологическими потерями. Увеличение CO2 улучшает провар, но усиливает разбрызгивание и угар; снижение — уменьшает потери, но ухудшает формообразование шва. Поиск оптимального состава — важная научно-практическая задача.</w:t>
      </w:r>
    </w:p>
    <w:p w14:paraId="47000000">
      <w:pPr>
        <w:pStyle w:val="Style_2"/>
        <w:ind/>
        <w:jc w:val="left"/>
        <w:rPr>
          <w:rFonts w:ascii="Times New Roman" w:hAnsi="Times New Roman"/>
          <w:sz w:val="28"/>
        </w:rPr>
      </w:pPr>
    </w:p>
    <w:p w14:paraId="48000000">
      <w:pPr>
        <w:pStyle w:val="Style_2"/>
        <w:ind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Двухструйная газовая защита — перспективное, но недостаточно изученное направление. Раздельная подача газовых потоков теоретически позволяет эффективнее защищать сварочную ванну, снижать турбулентность и, как следствие, уменьшать потери металла. Однако её влияние на геометрические параметры шва и стабильность процесса требует экспериментального подтверждения.</w:t>
      </w:r>
    </w:p>
    <w:p w14:paraId="49000000">
      <w:pPr>
        <w:pStyle w:val="Style_2"/>
        <w:ind/>
        <w:jc w:val="left"/>
        <w:rPr>
          <w:rFonts w:ascii="Times New Roman" w:hAnsi="Times New Roman"/>
          <w:sz w:val="28"/>
        </w:rPr>
      </w:pPr>
    </w:p>
    <w:p w14:paraId="4A000000">
      <w:pPr>
        <w:pStyle w:val="Style_2"/>
        <w:ind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Положение горелки (PG, PB, PF и др.) существенно влияет на перенос электродного металла и геометрию шва, что требует корректировки режимов при переходе между пространственными положениями.</w:t>
      </w:r>
    </w:p>
    <w:p w14:paraId="4B000000">
      <w:pPr>
        <w:pStyle w:val="Style_2"/>
        <w:ind/>
        <w:jc w:val="left"/>
        <w:rPr>
          <w:rFonts w:ascii="Times New Roman" w:hAnsi="Times New Roman"/>
          <w:sz w:val="28"/>
        </w:rPr>
      </w:pPr>
    </w:p>
    <w:p w14:paraId="4C000000">
      <w:pPr>
        <w:pStyle w:val="Style_2"/>
        <w:ind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Автоматизация сварочного производства предъявляет повышенные требования к стабильности процесса, включая параметры газовой защиты, что делает оптимизацию режимов необходимым условием для эффективного перехода от ручной к механизированной сварке.</w:t>
      </w:r>
    </w:p>
    <w:p w14:paraId="4D000000">
      <w:pPr>
        <w:pStyle w:val="Style_2"/>
        <w:ind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Таким образом, актуальность исследования обусловлена необходимостью:</w:t>
      </w:r>
    </w:p>
    <w:p w14:paraId="4E000000">
      <w:pPr>
        <w:pStyle w:val="Style_2"/>
        <w:ind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повышения экономической эффективности за счёт снижения потерь металла;</w:t>
      </w:r>
    </w:p>
    <w:p w14:paraId="4F000000">
      <w:pPr>
        <w:pStyle w:val="Style_2"/>
        <w:ind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обеспечения стабильного качества швов в различных пространственных положениях;</w:t>
      </w:r>
    </w:p>
    <w:p w14:paraId="50000000">
      <w:pPr>
        <w:pStyle w:val="Style_2"/>
        <w:ind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разработки научно обоснованных рекомендаций по выбору составов защитных газов;</w:t>
      </w:r>
    </w:p>
    <w:p w14:paraId="51000000">
      <w:pPr>
        <w:pStyle w:val="Style_2"/>
        <w:ind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изучения влияния двухструйной газовой защиты на формирование шва;</w:t>
      </w:r>
    </w:p>
    <w:p w14:paraId="52000000">
      <w:pPr>
        <w:pStyle w:val="Style_2"/>
        <w:ind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создания технологической базы для перехода к автоматической сварке.</w:t>
      </w:r>
    </w:p>
    <w:p w14:paraId="53000000">
      <w:pPr>
        <w:pStyle w:val="Style_2"/>
        <w:ind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Решение этих задач позволит повысить конкурентоспособность сварочного производства и обеспечить выпуск продукции, соответствующей современным требованиям качества.</w:t>
      </w:r>
    </w:p>
    <w:p w14:paraId="54000000"/>
    <w:p w14:paraId="55000000">
      <w:pPr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Цель и задачи исследования</w:t>
      </w:r>
    </w:p>
    <w:p w14:paraId="56000000">
      <w:pPr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Цель работы:</w:t>
      </w:r>
    </w:p>
    <w:p w14:paraId="57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Исследование влияния типа газовой защиты (традиционная одноструйная и двухструйная), состава защитной газовой смеси и пространственного положения сварочной горелки на геометрические параметры и качество формирования сварного шва при сварке плавящимся электродом, с целью определения оптимальных технологических режимов, минимизирующих потери металла на угар и разбрызгивание.</w:t>
      </w:r>
    </w:p>
    <w:p w14:paraId="58000000">
      <w:pPr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Задачи исследования:</w:t>
      </w:r>
    </w:p>
    <w:p w14:paraId="59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Провести экспериментальную наплавку валиков на образцах из стали 45 (толщиной 2 мм) сварочной проволокой Св-08Г2С (диаметром 1,2 мм) в среде смеси газов Ar + CO₂, варьируя тип газовой защиты (одноструйная и двухструйная) и расход защитного газа.</w:t>
      </w:r>
    </w:p>
    <w:p w14:paraId="5A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Выполнить макроструктурный анализ полученных сварных соединений: изготовить поперечные макрошлифы, протравить их хлоридом железа (III) и с использованием цифрового микроскопа (Olympus GX41 SC30) оцифровать и измерить основные геометрические параметры шва (ширину шва, глубину провара, высоту усиления/выпуклость, катет шва).</w:t>
      </w:r>
    </w:p>
    <w:p w14:paraId="5B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Исследовать и систематизировать влияние процентного содержания компонентов в защитной газовой смеси, а также пространственного положения сварочной горелки (положения PG, PB, PF) на формообразование неразъемного соединения.</w:t>
      </w:r>
    </w:p>
    <w:p w14:paraId="5C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Сравнить результаты ручной дуговой и автоматической сварки, выявить закономерности изменения геометрических параметров и обосновать выбор оптимального состава защитной газовой смеси для снижения дефектности и потерь металла при сварке.</w:t>
      </w:r>
    </w:p>
    <w:p w14:paraId="5D000000">
      <w:pPr>
        <w:pStyle w:val="Style_2"/>
        <w:ind/>
        <w:jc w:val="left"/>
        <w:rPr>
          <w:rFonts w:ascii="Times New Roman" w:hAnsi="Times New Roman"/>
          <w:sz w:val="28"/>
        </w:rPr>
      </w:pPr>
    </w:p>
    <w:p w14:paraId="5E000000">
      <w:pPr>
        <w:pStyle w:val="Style_3"/>
        <w:ind/>
        <w:jc w:val="left"/>
        <w:rPr>
          <w:rFonts w:ascii="Times New Roman" w:hAnsi="Times New Roman"/>
          <w:b w:val="1"/>
          <w:color w:themeColor="text1" w:val="000000"/>
          <w:sz w:val="28"/>
        </w:rPr>
      </w:pPr>
      <w:r>
        <w:rPr>
          <w:rFonts w:ascii="Times New Roman" w:hAnsi="Times New Roman"/>
          <w:b w:val="1"/>
          <w:color w:themeColor="text1" w:val="000000"/>
          <w:sz w:val="28"/>
        </w:rPr>
        <w:t>1. Методика проведения эксперимента</w:t>
      </w:r>
    </w:p>
    <w:p w14:paraId="5F000000"/>
    <w:p w14:paraId="60000000">
      <w:pPr>
        <w:spacing w:line="360" w:lineRule="auto"/>
        <w:ind w:firstLine="851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Для исследования и изучения фо</w:t>
      </w:r>
      <w:r>
        <w:rPr>
          <w:rFonts w:ascii="Times New Roman" w:hAnsi="Times New Roman"/>
          <w:sz w:val="28"/>
        </w:rPr>
        <w:t xml:space="preserve">рмообразования неразъемного шва </w:t>
      </w:r>
      <w:r>
        <w:rPr>
          <w:rFonts w:ascii="Times New Roman" w:hAnsi="Times New Roman"/>
          <w:sz w:val="28"/>
        </w:rPr>
        <w:t>при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сварке плавящимся электродом с традиционной (одноструйной) и с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двухструйной</w:t>
      </w:r>
      <w:r>
        <w:rPr>
          <w:rFonts w:ascii="Times New Roman" w:hAnsi="Times New Roman"/>
          <w:sz w:val="28"/>
        </w:rPr>
        <w:t xml:space="preserve"> газовой</w:t>
      </w:r>
      <w:r>
        <w:rPr>
          <w:rFonts w:ascii="Times New Roman" w:hAnsi="Times New Roman"/>
          <w:sz w:val="28"/>
        </w:rPr>
        <w:t xml:space="preserve"> защитой из стали 45 толщиной 2</w:t>
      </w:r>
      <w:r>
        <w:rPr>
          <w:rFonts w:ascii="Times New Roman" w:hAnsi="Times New Roman"/>
          <w:sz w:val="28"/>
        </w:rPr>
        <w:t xml:space="preserve"> мм сварочной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проволокой </w:t>
      </w:r>
      <w:r>
        <w:rPr>
          <w:rFonts w:ascii="Times New Roman" w:hAnsi="Times New Roman"/>
          <w:sz w:val="28"/>
        </w:rPr>
        <w:t>Св-08Г2С</w:t>
      </w:r>
      <w:r>
        <w:rPr>
          <w:rFonts w:ascii="Times New Roman" w:hAnsi="Times New Roman"/>
          <w:sz w:val="28"/>
        </w:rPr>
        <w:t xml:space="preserve"> диаметром 1,2 м</w:t>
      </w:r>
      <w:r>
        <w:rPr>
          <w:rFonts w:ascii="Times New Roman" w:hAnsi="Times New Roman"/>
          <w:sz w:val="28"/>
        </w:rPr>
        <w:t xml:space="preserve">м в смеси газов </w:t>
      </w:r>
      <w:r>
        <w:rPr>
          <w:rFonts w:ascii="Times New Roman" w:hAnsi="Times New Roman"/>
          <w:sz w:val="28"/>
        </w:rPr>
        <w:t>Ar+</w:t>
      </w:r>
      <w:r>
        <w:rPr>
          <w:rFonts w:ascii="Times New Roman" w:hAnsi="Times New Roman"/>
          <w:sz w:val="28"/>
        </w:rPr>
        <w:t>CO2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Для выполнения опыта </w:t>
      </w:r>
      <w:r>
        <w:rPr>
          <w:rFonts w:ascii="Times New Roman" w:hAnsi="Times New Roman"/>
          <w:sz w:val="28"/>
        </w:rPr>
        <w:t>взяли пол</w:t>
      </w:r>
      <w:r>
        <w:rPr>
          <w:rFonts w:ascii="Times New Roman" w:hAnsi="Times New Roman"/>
          <w:sz w:val="28"/>
        </w:rPr>
        <w:t>ностью сваренный держатель передней панели.</w:t>
      </w:r>
    </w:p>
    <w:p w14:paraId="61000000">
      <w:pPr>
        <w:spacing w:line="360" w:lineRule="auto"/>
        <w:ind w:firstLine="851" w:left="0"/>
        <w:jc w:val="right"/>
        <w:rPr>
          <w:rFonts w:ascii="Times New Roman" w:hAnsi="Times New Roman"/>
          <w:sz w:val="28"/>
        </w:rPr>
      </w:pPr>
      <w:r>
        <w:drawing>
          <wp:inline>
            <wp:extent cx="5940425" cy="2672044"/>
            <wp:docPr hidden="false" id="1" name="Picture 1"/>
            <a:graphic>
              <a:graphicData uri="http://schemas.openxmlformats.org/drawingml/2006/picture">
                <pic:pic>
                  <pic:nvPicPr>
                    <pic:cNvPr hidden="false" id="2" name="Picture 2"/>
                    <pic:cNvPicPr preferRelativeResize="true"/>
                  </pic:nvPicPr>
                  <pic:blipFill>
                    <a:blip r:embed="rId5"/>
                    <a:stretch/>
                  </pic:blipFill>
                  <pic:spPr>
                    <a:xfrm flipH="false" flipV="false" rot="0">
                      <a:ext cx="5940425" cy="267204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2000000">
      <w:pPr>
        <w:spacing w:line="360" w:lineRule="auto"/>
        <w:ind w:firstLine="851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ходе исследования проводили наплавку валика выполняли сваркой с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традиционной (одноструйной) и с </w:t>
      </w:r>
      <w:r>
        <w:rPr>
          <w:rFonts w:ascii="Times New Roman" w:hAnsi="Times New Roman"/>
          <w:sz w:val="28"/>
        </w:rPr>
        <w:t>двухструйной</w:t>
      </w:r>
      <w:r>
        <w:rPr>
          <w:rFonts w:ascii="Times New Roman" w:hAnsi="Times New Roman"/>
          <w:sz w:val="28"/>
        </w:rPr>
        <w:t xml:space="preserve"> газовой защитой. Режим</w:t>
      </w:r>
      <w:r>
        <w:rPr>
          <w:rFonts w:ascii="Times New Roman" w:hAnsi="Times New Roman"/>
          <w:sz w:val="28"/>
        </w:rPr>
        <w:t>ы</w:t>
      </w:r>
      <w:r>
        <w:rPr>
          <w:rFonts w:ascii="Times New Roman" w:hAnsi="Times New Roman"/>
          <w:sz w:val="28"/>
        </w:rPr>
        <w:t xml:space="preserve"> сварки менялись по мере получения результатов, а именно проводя макроструктурный анализ образцов (швов).</w:t>
      </w:r>
    </w:p>
    <w:p w14:paraId="63000000">
      <w:pPr>
        <w:pStyle w:val="Style_3"/>
        <w:spacing w:line="360" w:lineRule="auto"/>
        <w:ind/>
        <w:rPr>
          <w:rFonts w:ascii="Times New Roman" w:hAnsi="Times New Roman"/>
          <w:b w:val="1"/>
          <w:color w:themeColor="text1" w:val="000000"/>
          <w:sz w:val="28"/>
        </w:rPr>
      </w:pPr>
      <w:r>
        <w:rPr>
          <w:rFonts w:ascii="Times New Roman" w:hAnsi="Times New Roman"/>
          <w:b w:val="1"/>
          <w:color w:themeColor="text1" w:val="000000"/>
          <w:sz w:val="28"/>
        </w:rPr>
        <w:t>2. Методика определения геометрических параметров шва</w:t>
      </w:r>
    </w:p>
    <w:p w14:paraId="64000000">
      <w:pPr>
        <w:spacing w:line="360" w:lineRule="auto"/>
        <w:ind w:firstLine="851" w:left="0"/>
        <w:rPr>
          <w:rFonts w:ascii="Arial" w:hAnsi="Arial"/>
          <w:color w:val="FB0007"/>
        </w:rPr>
      </w:pPr>
      <w:r>
        <w:rPr>
          <w:rFonts w:ascii="Times New Roman" w:hAnsi="Times New Roman"/>
          <w:sz w:val="28"/>
        </w:rPr>
        <w:t>Сущность методики определени</w:t>
      </w:r>
      <w:r>
        <w:rPr>
          <w:rFonts w:ascii="Times New Roman" w:hAnsi="Times New Roman"/>
          <w:sz w:val="28"/>
        </w:rPr>
        <w:t xml:space="preserve">я геометрических параметров шва </w:t>
      </w:r>
      <w:r>
        <w:rPr>
          <w:rFonts w:ascii="Times New Roman" w:hAnsi="Times New Roman"/>
          <w:sz w:val="28"/>
        </w:rPr>
        <w:t>заключается в том, что была выпол</w:t>
      </w:r>
      <w:r>
        <w:rPr>
          <w:rFonts w:ascii="Times New Roman" w:hAnsi="Times New Roman"/>
          <w:sz w:val="28"/>
        </w:rPr>
        <w:t>нена наплавка валика</w:t>
      </w:r>
      <w:r>
        <w:rPr>
          <w:rFonts w:ascii="Times New Roman" w:hAnsi="Times New Roman"/>
          <w:sz w:val="28"/>
        </w:rPr>
        <w:t>, с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различным расходом защитного га</w:t>
      </w:r>
      <w:r>
        <w:rPr>
          <w:rFonts w:ascii="Times New Roman" w:hAnsi="Times New Roman"/>
          <w:sz w:val="28"/>
        </w:rPr>
        <w:t>за. После сварки каждый шов был подписан, далее образец был распилен</w:t>
      </w:r>
      <w:r>
        <w:rPr>
          <w:rFonts w:ascii="Times New Roman" w:hAnsi="Times New Roman"/>
          <w:sz w:val="28"/>
        </w:rPr>
        <w:t xml:space="preserve"> поперек шва. На следующем этапе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исследуемый образец был отшлифован и протравлен</w:t>
      </w:r>
      <w:r>
        <w:rPr>
          <w:rFonts w:ascii="Times New Roman" w:hAnsi="Times New Roman"/>
          <w:sz w:val="28"/>
        </w:rPr>
        <w:t xml:space="preserve"> хлоридом железа (</w:t>
      </w:r>
      <w:r>
        <w:rPr>
          <w:rFonts w:ascii="Times New Roman" w:hAnsi="Times New Roman"/>
          <w:sz w:val="28"/>
        </w:rPr>
        <w:t>III</w:t>
      </w:r>
      <w:r>
        <w:rPr>
          <w:rFonts w:ascii="Times New Roman" w:hAnsi="Times New Roman"/>
          <w:sz w:val="28"/>
        </w:rPr>
        <w:t>)</w:t>
      </w:r>
      <w:r>
        <w:rPr>
          <w:rFonts w:ascii="Times New Roman" w:hAnsi="Times New Roman"/>
          <w:sz w:val="28"/>
        </w:rPr>
        <w:t xml:space="preserve">. В последствии образец </w:t>
      </w:r>
      <w:r>
        <w:rPr>
          <w:rFonts w:ascii="Times New Roman" w:hAnsi="Times New Roman"/>
          <w:sz w:val="28"/>
        </w:rPr>
        <w:t>был сфотографирован и оцифрован через микроскоп (</w:t>
      </w:r>
      <w:r>
        <w:rPr>
          <w:rFonts w:ascii="Times New Roman" w:hAnsi="Times New Roman"/>
          <w:b w:val="0"/>
          <w:i w:val="0"/>
          <w:color w:val="000000"/>
          <w:sz w:val="28"/>
        </w:rPr>
        <w:t>Измерительный инструмент: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8"/>
        </w:rPr>
        <w:t>Microskop Olympus GX41 SC30, Digital Camera Olympus)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>получены растровые изображе</w:t>
      </w:r>
      <w:r>
        <w:rPr>
          <w:rFonts w:ascii="Times New Roman" w:hAnsi="Times New Roman"/>
          <w:sz w:val="28"/>
        </w:rPr>
        <w:t>ния в формате .</w:t>
      </w:r>
      <w:r>
        <w:rPr>
          <w:rFonts w:ascii="Times New Roman" w:hAnsi="Times New Roman"/>
          <w:sz w:val="28"/>
        </w:rPr>
        <w:t>jpg</w:t>
      </w:r>
      <w:r>
        <w:rPr>
          <w:rFonts w:ascii="Times New Roman" w:hAnsi="Times New Roman"/>
          <w:sz w:val="28"/>
        </w:rPr>
        <w:t>. На основании</w:t>
      </w:r>
      <w:r>
        <w:rPr>
          <w:rFonts w:ascii="Times New Roman" w:hAnsi="Times New Roman"/>
          <w:sz w:val="28"/>
        </w:rPr>
        <w:t xml:space="preserve"> известного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значения толщины материала, на который проводилась наплавка был получен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масштабный коэффициент учитываемый при измерении геометрических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размеров шва (рисунок 5)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 xml:space="preserve"> </w:t>
      </w:r>
    </w:p>
    <w:p w14:paraId="65000000">
      <w:pPr>
        <w:spacing w:line="360" w:lineRule="auto"/>
        <w:ind w:firstLine="851" w:left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drawing>
          <wp:inline>
            <wp:extent cx="3676650" cy="2990850"/>
            <wp:effectExtent b="0" l="0" r="0" t="0"/>
            <wp:docPr hidden="false" id="3" name="Picture 3"/>
            <a:graphic>
              <a:graphicData uri="http://schemas.openxmlformats.org/drawingml/2006/picture">
                <pic:pic>
                  <pic:nvPicPr>
                    <pic:cNvPr hidden="false" id="4" name="Picture 4"/>
                    <pic:cNvPicPr preferRelativeResize="true"/>
                  </pic:nvPicPr>
                  <pic:blipFill>
                    <a:blip r:embed="rId6"/>
                    <a:srcRect b="0" l="0" r="0" t="0"/>
                    <a:stretch/>
                  </pic:blipFill>
                  <pic:spPr>
                    <a:xfrm flipH="false" flipV="false" rot="0">
                      <a:ext cx="3676650" cy="29908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6000000">
      <w:pPr>
        <w:spacing w:line="360" w:lineRule="auto"/>
        <w:ind w:firstLine="851" w:left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5.</w:t>
      </w:r>
      <w:r>
        <w:rPr>
          <w:rFonts w:ascii="Times New Roman" w:hAnsi="Times New Roman"/>
          <w:sz w:val="28"/>
        </w:rPr>
        <w:t xml:space="preserve"> Основные</w:t>
      </w:r>
      <w:r>
        <w:rPr>
          <w:rFonts w:ascii="Times New Roman" w:hAnsi="Times New Roman"/>
          <w:sz w:val="28"/>
        </w:rPr>
        <w:t xml:space="preserve"> геометрические параметры шва: </w:t>
      </w:r>
      <w:r>
        <w:rPr>
          <w:rFonts w:ascii="Times New Roman" w:hAnsi="Times New Roman"/>
          <w:sz w:val="28"/>
        </w:rPr>
        <w:t>t</w:t>
      </w:r>
      <w:r>
        <w:rPr>
          <w:rFonts w:ascii="Times New Roman" w:hAnsi="Times New Roman"/>
          <w:sz w:val="28"/>
          <w:vertAlign w:val="subscript"/>
        </w:rPr>
        <w:t>1</w:t>
      </w:r>
      <w:r>
        <w:rPr>
          <w:rFonts w:ascii="Times New Roman" w:hAnsi="Times New Roman"/>
          <w:sz w:val="28"/>
        </w:rPr>
        <w:t>-t</w:t>
      </w:r>
      <w:r>
        <w:rPr>
          <w:rFonts w:ascii="Times New Roman" w:hAnsi="Times New Roman"/>
          <w:sz w:val="28"/>
          <w:vertAlign w:val="subscript"/>
        </w:rPr>
        <w:t>2</w:t>
      </w:r>
      <w:r>
        <w:rPr>
          <w:rFonts w:ascii="Times New Roman" w:hAnsi="Times New Roman"/>
          <w:sz w:val="28"/>
        </w:rPr>
        <w:t xml:space="preserve"> – толщина</w:t>
      </w:r>
      <w:r>
        <w:rPr>
          <w:rFonts w:ascii="Times New Roman" w:hAnsi="Times New Roman"/>
          <w:sz w:val="28"/>
        </w:rPr>
        <w:t xml:space="preserve"> свариваемого металла; b</w:t>
      </w:r>
      <w:r>
        <w:rPr>
          <w:rFonts w:ascii="Times New Roman" w:hAnsi="Times New Roman"/>
          <w:sz w:val="28"/>
          <w:vertAlign w:val="subscript"/>
        </w:rPr>
        <w:t>1</w:t>
      </w:r>
      <w:r>
        <w:rPr>
          <w:rFonts w:ascii="Times New Roman" w:hAnsi="Times New Roman"/>
          <w:sz w:val="28"/>
        </w:rPr>
        <w:t>-b</w:t>
      </w:r>
      <w:r>
        <w:rPr>
          <w:rFonts w:ascii="Times New Roman" w:hAnsi="Times New Roman"/>
          <w:sz w:val="28"/>
          <w:vertAlign w:val="subscript"/>
        </w:rPr>
        <w:t>2</w:t>
      </w:r>
      <w:r>
        <w:rPr>
          <w:rFonts w:ascii="Times New Roman" w:hAnsi="Times New Roman"/>
          <w:sz w:val="28"/>
        </w:rPr>
        <w:t xml:space="preserve"> – ширина сварного шва; </w:t>
      </w:r>
      <w:r>
        <w:rPr>
          <w:rFonts w:ascii="Times New Roman" w:hAnsi="Times New Roman"/>
          <w:sz w:val="28"/>
        </w:rPr>
        <w:t>s</w:t>
      </w:r>
      <w:r>
        <w:rPr>
          <w:rFonts w:ascii="Times New Roman" w:hAnsi="Times New Roman"/>
          <w:sz w:val="28"/>
          <w:vertAlign w:val="subscript"/>
        </w:rPr>
        <w:t>1</w:t>
      </w:r>
      <w:r>
        <w:rPr>
          <w:rFonts w:ascii="Times New Roman" w:hAnsi="Times New Roman"/>
          <w:sz w:val="28"/>
        </w:rPr>
        <w:t>-s</w:t>
      </w:r>
      <w:r>
        <w:rPr>
          <w:rFonts w:ascii="Times New Roman" w:hAnsi="Times New Roman"/>
          <w:sz w:val="28"/>
          <w:vertAlign w:val="subscript"/>
        </w:rPr>
        <w:t>2</w:t>
      </w:r>
      <w:r>
        <w:rPr>
          <w:rFonts w:ascii="Times New Roman" w:hAnsi="Times New Roman"/>
          <w:sz w:val="28"/>
        </w:rPr>
        <w:t xml:space="preserve"> – выпуклость стыкового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шва (высота усиления) – наибольшая высота (глубина) между поверхностью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сварного шва и уровнем расположения по</w:t>
      </w:r>
      <w:r>
        <w:rPr>
          <w:rFonts w:ascii="Times New Roman" w:hAnsi="Times New Roman"/>
          <w:sz w:val="28"/>
        </w:rPr>
        <w:t xml:space="preserve">верхности сваренных деталей; </w:t>
      </w:r>
      <w:r>
        <w:rPr>
          <w:rFonts w:ascii="Times New Roman" w:hAnsi="Times New Roman"/>
          <w:sz w:val="28"/>
        </w:rPr>
        <w:t>f</w:t>
      </w:r>
      <w:r>
        <w:rPr>
          <w:rFonts w:ascii="Times New Roman" w:hAnsi="Times New Roman"/>
          <w:sz w:val="28"/>
          <w:vertAlign w:val="subscript"/>
        </w:rPr>
        <w:t>1</w:t>
      </w:r>
      <w:r>
        <w:rPr>
          <w:rFonts w:ascii="Times New Roman" w:hAnsi="Times New Roman"/>
          <w:sz w:val="28"/>
        </w:rPr>
        <w:t>-f</w:t>
      </w:r>
      <w:r>
        <w:rPr>
          <w:rFonts w:ascii="Times New Roman" w:hAnsi="Times New Roman"/>
          <w:sz w:val="28"/>
          <w:vertAlign w:val="subscript"/>
        </w:rPr>
        <w:t>2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глубина провара (глубина проплавления) –</w:t>
      </w:r>
      <w:r>
        <w:rPr>
          <w:rFonts w:ascii="Times New Roman" w:hAnsi="Times New Roman"/>
          <w:sz w:val="28"/>
        </w:rPr>
        <w:t xml:space="preserve">; </w:t>
      </w:r>
      <w:r>
        <w:rPr>
          <w:rFonts w:ascii="Times New Roman" w:hAnsi="Times New Roman"/>
          <w:sz w:val="28"/>
        </w:rPr>
        <w:t>S</w:t>
      </w:r>
      <w:r>
        <w:rPr>
          <w:rFonts w:ascii="Times New Roman" w:hAnsi="Times New Roman"/>
          <w:sz w:val="28"/>
          <w:vertAlign w:val="subscript"/>
        </w:rPr>
        <w:t>N</w:t>
      </w:r>
      <w:r>
        <w:rPr>
          <w:rFonts w:ascii="Times New Roman" w:hAnsi="Times New Roman"/>
          <w:sz w:val="28"/>
        </w:rPr>
        <w:t xml:space="preserve"> – катет шва</w:t>
      </w:r>
    </w:p>
    <w:p w14:paraId="67000000">
      <w:pPr>
        <w:pStyle w:val="Style_3"/>
        <w:spacing w:line="360" w:lineRule="auto"/>
        <w:ind/>
        <w:jc w:val="left"/>
        <w:rPr>
          <w:rFonts w:ascii="Times New Roman" w:hAnsi="Times New Roman"/>
          <w:b w:val="1"/>
          <w:color w:themeColor="text1" w:val="000000"/>
          <w:sz w:val="28"/>
        </w:rPr>
      </w:pPr>
      <w:r>
        <w:rPr>
          <w:rFonts w:ascii="Times New Roman" w:hAnsi="Times New Roman"/>
          <w:b w:val="1"/>
          <w:color w:themeColor="text1" w:val="000000"/>
          <w:sz w:val="28"/>
        </w:rPr>
        <w:t>3. Проведение испытаний и обработка результатов исследования</w:t>
      </w:r>
    </w:p>
    <w:p w14:paraId="68000000">
      <w:pPr>
        <w:spacing w:line="360" w:lineRule="auto"/>
        <w:ind/>
        <w:rPr>
          <w:rFonts w:ascii="Times New Roman" w:hAnsi="Times New Roman"/>
          <w:sz w:val="28"/>
        </w:rPr>
      </w:pPr>
    </w:p>
    <w:p w14:paraId="69000000">
      <w:pPr>
        <w:spacing w:after="0" w:line="360" w:lineRule="auto"/>
        <w:ind w:firstLine="709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Исследуя в данной работе влияние смеси газов, а именно меняя процентное содержание смеси,</w:t>
      </w:r>
      <w:r>
        <w:rPr>
          <w:rFonts w:ascii="Times New Roman" w:hAnsi="Times New Roman"/>
          <w:sz w:val="28"/>
        </w:rPr>
        <w:t xml:space="preserve"> а также положение </w:t>
      </w:r>
      <w:r>
        <w:rPr>
          <w:rFonts w:ascii="Times New Roman" w:hAnsi="Times New Roman"/>
          <w:sz w:val="28"/>
        </w:rPr>
        <w:t xml:space="preserve">горелки, </w:t>
      </w:r>
      <w:r>
        <w:rPr>
          <w:rFonts w:ascii="Times New Roman" w:hAnsi="Times New Roman"/>
          <w:sz w:val="28"/>
        </w:rPr>
        <w:t xml:space="preserve">на полученных </w:t>
      </w:r>
      <w:r>
        <w:rPr>
          <w:rFonts w:ascii="Times New Roman" w:hAnsi="Times New Roman"/>
          <w:sz w:val="28"/>
        </w:rPr>
        <w:t>сварных образцах п</w:t>
      </w:r>
      <w:r>
        <w:rPr>
          <w:rFonts w:ascii="Times New Roman" w:hAnsi="Times New Roman"/>
          <w:sz w:val="28"/>
        </w:rPr>
        <w:t xml:space="preserve">ровели измерение геометрических </w:t>
      </w:r>
      <w:r>
        <w:rPr>
          <w:rFonts w:ascii="Times New Roman" w:hAnsi="Times New Roman"/>
          <w:sz w:val="28"/>
        </w:rPr>
        <w:t xml:space="preserve">параметров сварных швов </w:t>
      </w:r>
      <w:r>
        <w:rPr>
          <w:rFonts w:ascii="Times New Roman" w:hAnsi="Times New Roman"/>
          <w:sz w:val="28"/>
        </w:rPr>
        <w:t>(рисунок 6</w:t>
      </w:r>
      <w:r>
        <w:rPr>
          <w:rFonts w:ascii="Times New Roman" w:hAnsi="Times New Roman"/>
          <w:sz w:val="28"/>
        </w:rPr>
        <w:t>).</w:t>
      </w:r>
    </w:p>
    <w:p w14:paraId="6A000000">
      <w:pPr>
        <w:spacing w:after="0" w:line="360" w:lineRule="auto"/>
        <w:ind w:firstLine="709" w:left="0"/>
        <w:jc w:val="both"/>
        <w:rPr>
          <w:rFonts w:ascii="Times New Roman" w:hAnsi="Times New Roman"/>
          <w:sz w:val="28"/>
        </w:rPr>
      </w:pPr>
    </w:p>
    <w:p w14:paraId="6B000000">
      <w:pPr>
        <w:spacing w:after="0" w:line="360" w:lineRule="auto"/>
        <w:ind/>
        <w:rPr>
          <w:rFonts w:ascii="Times New Roman" w:hAnsi="Times New Roman"/>
          <w:sz w:val="28"/>
        </w:rPr>
      </w:pPr>
    </w:p>
    <w:tbl>
      <w:tblPr>
        <w:tblStyle w:val="Style_4"/>
        <w:tblW w:type="auto" w:w="0"/>
        <w:jc w:val="center"/>
        <w:tblBorders>
          <w:top w:color="000000" w:val="nil"/>
          <w:left w:color="000000" w:val="nil"/>
          <w:bottom w:color="000000" w:val="nil"/>
          <w:right w:color="000000" w:val="nil"/>
          <w:insideH w:color="000000" w:val="nil"/>
          <w:insideV w:color="000000" w:val="nil"/>
        </w:tblBorders>
        <w:tblLayout w:type="fixed"/>
      </w:tblPr>
      <w:tblGrid>
        <w:gridCol w:w="3464"/>
        <w:gridCol w:w="1704"/>
        <w:gridCol w:w="1812"/>
        <w:gridCol w:w="3524"/>
      </w:tblGrid>
      <w:tr>
        <w:tc>
          <w:tcPr>
            <w:tcW w:type="dxa" w:w="3464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  <w:vAlign w:val="center"/>
          </w:tcPr>
          <w:p w14:paraId="6C000000">
            <w:pPr>
              <w:spacing w:line="360" w:lineRule="auto"/>
              <w:ind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drawing>
                <wp:inline>
                  <wp:extent cx="2062772" cy="1543050"/>
                  <wp:effectExtent b="0" l="0" r="0" t="0"/>
                  <wp:docPr hidden="false" id="5" name="Picture 5"/>
                  <a:graphic>
                    <a:graphicData uri="http://schemas.openxmlformats.org/drawingml/2006/picture">
                      <pic:pic>
                        <pic:nvPicPr>
                          <pic:cNvPr hidden="false" id="6" name="Picture 6"/>
                          <pic:cNvPicPr preferRelativeResize="true"/>
                        </pic:nvPicPr>
                        <pic:blipFill>
                          <a:blip r:embed="rId7"/>
                          <a:srcRect b="0" l="0" r="0" t="0"/>
                          <a:stretch/>
                        </pic:blipFill>
                        <pic:spPr>
                          <a:xfrm flipH="false" flipV="false" rot="0">
                            <a:ext cx="2062772" cy="1543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6"/>
            <w:gridSpan w:val="2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  <w:vAlign w:val="center"/>
          </w:tcPr>
          <w:p w14:paraId="6D000000">
            <w:pPr>
              <w:spacing w:line="360" w:lineRule="auto"/>
              <w:ind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drawing>
                <wp:inline>
                  <wp:extent cx="2095500" cy="1567532"/>
                  <wp:effectExtent b="0" l="0" r="0" t="0"/>
                  <wp:docPr hidden="false" id="7" name="Picture 7"/>
                  <a:graphic>
                    <a:graphicData uri="http://schemas.openxmlformats.org/drawingml/2006/picture">
                      <pic:pic>
                        <pic:nvPicPr>
                          <pic:cNvPr hidden="false" id="8" name="Picture 8"/>
                          <pic:cNvPicPr preferRelativeResize="true"/>
                        </pic:nvPicPr>
                        <pic:blipFill>
                          <a:blip r:embed="rId8"/>
                          <a:srcRect b="0" l="0" r="0" t="0"/>
                          <a:stretch/>
                        </pic:blipFill>
                        <pic:spPr>
                          <a:xfrm flipH="false" flipV="false" rot="0">
                            <a:ext cx="2095500" cy="15675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24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  <w:vAlign w:val="center"/>
          </w:tcPr>
          <w:p w14:paraId="6E000000">
            <w:pPr>
              <w:spacing w:line="360" w:lineRule="auto"/>
              <w:ind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drawing>
                <wp:inline>
                  <wp:extent cx="2100580" cy="1570730"/>
                  <wp:effectExtent b="0" l="0" r="0" t="0"/>
                  <wp:docPr hidden="false" id="9" name="Picture 9"/>
                  <a:graphic>
                    <a:graphicData uri="http://schemas.openxmlformats.org/drawingml/2006/picture">
                      <pic:pic>
                        <pic:nvPicPr>
                          <pic:cNvPr hidden="false" id="10" name="Picture 10"/>
                          <pic:cNvPicPr preferRelativeResize="true"/>
                        </pic:nvPicPr>
                        <pic:blipFill>
                          <a:blip r:embed="rId9"/>
                          <a:srcRect b="0" l="0" r="0" t="0"/>
                          <a:stretch/>
                        </pic:blipFill>
                        <pic:spPr>
                          <a:xfrm flipH="false" flipV="false" rot="0">
                            <a:ext cx="2100580" cy="15707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464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  <w:vAlign w:val="center"/>
          </w:tcPr>
          <w:p w14:paraId="6F000000">
            <w:pPr>
              <w:spacing w:line="360" w:lineRule="auto"/>
              <w:ind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а)</w:t>
            </w:r>
          </w:p>
        </w:tc>
        <w:tc>
          <w:tcPr>
            <w:tcW w:type="dxa" w:w="3516"/>
            <w:gridSpan w:val="2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  <w:vAlign w:val="center"/>
          </w:tcPr>
          <w:p w14:paraId="70000000">
            <w:pPr>
              <w:spacing w:line="360" w:lineRule="auto"/>
              <w:ind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б)</w:t>
            </w:r>
          </w:p>
        </w:tc>
        <w:tc>
          <w:tcPr>
            <w:tcW w:type="dxa" w:w="3524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  <w:vAlign w:val="center"/>
          </w:tcPr>
          <w:p w14:paraId="71000000">
            <w:pPr>
              <w:spacing w:line="360" w:lineRule="auto"/>
              <w:ind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в)</w:t>
            </w:r>
          </w:p>
        </w:tc>
      </w:tr>
      <w:tr>
        <w:tc>
          <w:tcPr>
            <w:tcW w:type="dxa" w:w="5168"/>
            <w:gridSpan w:val="2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  <w:vAlign w:val="center"/>
          </w:tcPr>
          <w:p w14:paraId="72000000">
            <w:pPr>
              <w:spacing w:line="360" w:lineRule="auto"/>
              <w:ind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drawing>
                <wp:inline>
                  <wp:extent cx="2362200" cy="1766738"/>
                  <wp:effectExtent b="0" l="0" r="0" t="0"/>
                  <wp:docPr hidden="false" id="11" name="Picture 11"/>
                  <a:graphic>
                    <a:graphicData uri="http://schemas.openxmlformats.org/drawingml/2006/picture">
                      <pic:pic>
                        <pic:nvPicPr>
                          <pic:cNvPr hidden="false" id="12" name="Picture 12"/>
                          <pic:cNvPicPr preferRelativeResize="true"/>
                        </pic:nvPicPr>
                        <pic:blipFill>
                          <a:blip r:embed="rId10"/>
                          <a:srcRect b="0" l="0" r="0" t="0"/>
                          <a:stretch/>
                        </pic:blipFill>
                        <pic:spPr>
                          <a:xfrm flipH="false" flipV="false" rot="0">
                            <a:ext cx="2362200" cy="17667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36"/>
            <w:gridSpan w:val="2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  <w:vAlign w:val="center"/>
          </w:tcPr>
          <w:p w14:paraId="73000000">
            <w:pPr>
              <w:spacing w:line="360" w:lineRule="auto"/>
              <w:ind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drawing>
                <wp:inline>
                  <wp:extent cx="2365375" cy="1768823"/>
                  <wp:effectExtent b="0" l="0" r="0" t="0"/>
                  <wp:docPr hidden="false" id="13" name="Picture 13"/>
                  <a:graphic>
                    <a:graphicData uri="http://schemas.openxmlformats.org/drawingml/2006/picture">
                      <pic:pic>
                        <pic:nvPicPr>
                          <pic:cNvPr hidden="false" id="14" name="Picture 14"/>
                          <pic:cNvPicPr preferRelativeResize="true"/>
                        </pic:nvPicPr>
                        <pic:blipFill>
                          <a:blip r:embed="rId11"/>
                          <a:srcRect b="0" l="0" r="0" t="0"/>
                          <a:stretch/>
                        </pic:blipFill>
                        <pic:spPr>
                          <a:xfrm flipH="false" flipV="false" rot="0">
                            <a:ext cx="2365375" cy="17688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68"/>
            <w:gridSpan w:val="2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  <w:vAlign w:val="center"/>
          </w:tcPr>
          <w:p w14:paraId="74000000">
            <w:pPr>
              <w:spacing w:line="360" w:lineRule="auto"/>
              <w:ind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г)</w:t>
            </w:r>
          </w:p>
        </w:tc>
        <w:tc>
          <w:tcPr>
            <w:tcW w:type="dxa" w:w="5336"/>
            <w:gridSpan w:val="2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  <w:vAlign w:val="center"/>
          </w:tcPr>
          <w:p w14:paraId="75000000">
            <w:pPr>
              <w:spacing w:line="360" w:lineRule="auto"/>
              <w:ind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д)</w:t>
            </w:r>
          </w:p>
        </w:tc>
      </w:tr>
    </w:tbl>
    <w:p w14:paraId="76000000">
      <w:pPr>
        <w:spacing w:after="0" w:line="360" w:lineRule="auto"/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6.</w:t>
      </w:r>
      <w:r>
        <w:rPr>
          <w:rFonts w:ascii="Times New Roman" w:hAnsi="Times New Roman"/>
          <w:sz w:val="28"/>
        </w:rPr>
        <w:t xml:space="preserve"> Макрошлифы, параметры режимов: а - </w:t>
      </w:r>
      <w:r>
        <w:rPr>
          <w:rFonts w:ascii="Times New Roman" w:hAnsi="Times New Roman"/>
          <w:sz w:val="28"/>
        </w:rPr>
        <w:t>Ar</w:t>
      </w:r>
      <w:r>
        <w:rPr>
          <w:rFonts w:ascii="Times New Roman" w:hAnsi="Times New Roman"/>
          <w:sz w:val="28"/>
        </w:rPr>
        <w:t xml:space="preserve"> + 8%</w:t>
      </w:r>
      <w:r>
        <w:rPr>
          <w:rFonts w:ascii="Times New Roman" w:hAnsi="Times New Roman"/>
          <w:sz w:val="28"/>
        </w:rPr>
        <w:t>CO</w:t>
      </w:r>
      <w:r>
        <w:rPr>
          <w:rFonts w:ascii="Times New Roman" w:hAnsi="Times New Roman"/>
          <w:sz w:val="28"/>
        </w:rPr>
        <w:t xml:space="preserve">2, </w:t>
      </w:r>
      <w:r>
        <w:rPr>
          <w:rFonts w:ascii="Times New Roman" w:hAnsi="Times New Roman"/>
          <w:sz w:val="28"/>
        </w:rPr>
        <w:t>115А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>23,1В</w:t>
      </w:r>
      <w:r>
        <w:rPr>
          <w:rFonts w:ascii="Times New Roman" w:hAnsi="Times New Roman"/>
          <w:sz w:val="28"/>
        </w:rPr>
        <w:t xml:space="preserve">, импульсный, положение </w:t>
      </w:r>
      <w:r>
        <w:rPr>
          <w:rFonts w:ascii="Times New Roman" w:hAnsi="Times New Roman"/>
          <w:sz w:val="28"/>
        </w:rPr>
        <w:t>PG</w:t>
      </w:r>
      <w:r>
        <w:rPr>
          <w:rFonts w:ascii="Times New Roman" w:hAnsi="Times New Roman"/>
          <w:sz w:val="28"/>
        </w:rPr>
        <w:t xml:space="preserve"> (углом вниз), б - </w:t>
      </w:r>
      <w:r>
        <w:rPr>
          <w:rFonts w:ascii="Times New Roman" w:hAnsi="Times New Roman"/>
          <w:sz w:val="28"/>
        </w:rPr>
        <w:t>Ar</w:t>
      </w:r>
      <w:r>
        <w:rPr>
          <w:rFonts w:ascii="Times New Roman" w:hAnsi="Times New Roman"/>
          <w:sz w:val="28"/>
        </w:rPr>
        <w:t xml:space="preserve"> + 8%</w:t>
      </w:r>
      <w:r>
        <w:rPr>
          <w:rFonts w:ascii="Times New Roman" w:hAnsi="Times New Roman"/>
          <w:sz w:val="28"/>
        </w:rPr>
        <w:t>CO</w:t>
      </w:r>
      <w:r>
        <w:rPr>
          <w:rFonts w:ascii="Times New Roman" w:hAnsi="Times New Roman"/>
          <w:sz w:val="28"/>
        </w:rPr>
        <w:t xml:space="preserve">2, </w:t>
      </w:r>
      <w:r>
        <w:rPr>
          <w:rFonts w:ascii="Times New Roman" w:hAnsi="Times New Roman"/>
          <w:sz w:val="28"/>
        </w:rPr>
        <w:t>115А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>23,1В</w:t>
      </w:r>
      <w:r>
        <w:rPr>
          <w:rFonts w:ascii="Times New Roman" w:hAnsi="Times New Roman"/>
          <w:sz w:val="28"/>
        </w:rPr>
        <w:t xml:space="preserve">, импульсный, положение </w:t>
      </w:r>
      <w:r>
        <w:rPr>
          <w:rFonts w:ascii="Times New Roman" w:hAnsi="Times New Roman"/>
          <w:sz w:val="28"/>
        </w:rPr>
        <w:t>PB</w:t>
      </w:r>
      <w:r>
        <w:rPr>
          <w:rFonts w:ascii="Times New Roman" w:hAnsi="Times New Roman"/>
          <w:sz w:val="28"/>
        </w:rPr>
        <w:t xml:space="preserve">, в - </w:t>
      </w:r>
      <w:r>
        <w:rPr>
          <w:rFonts w:ascii="Times New Roman" w:hAnsi="Times New Roman"/>
          <w:sz w:val="28"/>
        </w:rPr>
        <w:t>Ar</w:t>
      </w:r>
      <w:r>
        <w:rPr>
          <w:rFonts w:ascii="Times New Roman" w:hAnsi="Times New Roman"/>
          <w:sz w:val="28"/>
        </w:rPr>
        <w:t xml:space="preserve"> + 8%</w:t>
      </w:r>
      <w:r>
        <w:rPr>
          <w:rFonts w:ascii="Times New Roman" w:hAnsi="Times New Roman"/>
          <w:sz w:val="28"/>
        </w:rPr>
        <w:t>CO</w:t>
      </w:r>
      <w:r>
        <w:rPr>
          <w:rFonts w:ascii="Times New Roman" w:hAnsi="Times New Roman"/>
          <w:sz w:val="28"/>
        </w:rPr>
        <w:t xml:space="preserve">2, </w:t>
      </w:r>
      <w:r>
        <w:rPr>
          <w:rFonts w:ascii="Times New Roman" w:hAnsi="Times New Roman"/>
          <w:sz w:val="28"/>
        </w:rPr>
        <w:t>115А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>23,1В</w:t>
      </w:r>
      <w:r>
        <w:rPr>
          <w:rFonts w:ascii="Times New Roman" w:hAnsi="Times New Roman"/>
          <w:sz w:val="28"/>
        </w:rPr>
        <w:t xml:space="preserve">, импульсный, положение </w:t>
      </w:r>
      <w:r>
        <w:rPr>
          <w:rFonts w:ascii="Times New Roman" w:hAnsi="Times New Roman"/>
          <w:sz w:val="28"/>
        </w:rPr>
        <w:t>PF</w:t>
      </w:r>
      <w:r>
        <w:rPr>
          <w:rFonts w:ascii="Times New Roman" w:hAnsi="Times New Roman"/>
          <w:sz w:val="28"/>
        </w:rPr>
        <w:t xml:space="preserve">, г - </w:t>
      </w:r>
      <w:r>
        <w:rPr>
          <w:rFonts w:ascii="Times New Roman" w:hAnsi="Times New Roman"/>
          <w:sz w:val="28"/>
        </w:rPr>
        <w:t>Ar</w:t>
      </w:r>
      <w:r>
        <w:rPr>
          <w:rFonts w:ascii="Times New Roman" w:hAnsi="Times New Roman"/>
          <w:sz w:val="28"/>
        </w:rPr>
        <w:t xml:space="preserve"> + 8%</w:t>
      </w:r>
      <w:r>
        <w:rPr>
          <w:rFonts w:ascii="Times New Roman" w:hAnsi="Times New Roman"/>
          <w:sz w:val="28"/>
        </w:rPr>
        <w:t>CO</w:t>
      </w:r>
      <w:r>
        <w:rPr>
          <w:rFonts w:ascii="Times New Roman" w:hAnsi="Times New Roman"/>
          <w:sz w:val="28"/>
        </w:rPr>
        <w:t xml:space="preserve">2, </w:t>
      </w:r>
      <w:r>
        <w:rPr>
          <w:rFonts w:ascii="Times New Roman" w:hAnsi="Times New Roman"/>
          <w:sz w:val="28"/>
        </w:rPr>
        <w:t>115А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>23,1В</w:t>
      </w:r>
      <w:r>
        <w:rPr>
          <w:rFonts w:ascii="Times New Roman" w:hAnsi="Times New Roman"/>
          <w:sz w:val="28"/>
        </w:rPr>
        <w:t xml:space="preserve">, импульсный, положение </w:t>
      </w:r>
      <w:r>
        <w:rPr>
          <w:rFonts w:ascii="Times New Roman" w:hAnsi="Times New Roman"/>
          <w:sz w:val="28"/>
        </w:rPr>
        <w:t>PF</w:t>
      </w:r>
      <w:r>
        <w:rPr>
          <w:rFonts w:ascii="Times New Roman" w:hAnsi="Times New Roman"/>
          <w:sz w:val="28"/>
        </w:rPr>
        <w:t xml:space="preserve">, д - </w:t>
      </w:r>
      <w:r>
        <w:rPr>
          <w:rFonts w:ascii="Times New Roman" w:hAnsi="Times New Roman"/>
          <w:sz w:val="28"/>
        </w:rPr>
        <w:t>Ar</w:t>
      </w:r>
      <w:r>
        <w:rPr>
          <w:rFonts w:ascii="Times New Roman" w:hAnsi="Times New Roman"/>
          <w:sz w:val="28"/>
        </w:rPr>
        <w:t xml:space="preserve"> + 8%</w:t>
      </w:r>
      <w:r>
        <w:rPr>
          <w:rFonts w:ascii="Times New Roman" w:hAnsi="Times New Roman"/>
          <w:sz w:val="28"/>
        </w:rPr>
        <w:t>CO</w:t>
      </w:r>
      <w:r>
        <w:rPr>
          <w:rFonts w:ascii="Times New Roman" w:hAnsi="Times New Roman"/>
          <w:sz w:val="28"/>
        </w:rPr>
        <w:t xml:space="preserve">2, </w:t>
      </w:r>
      <w:r>
        <w:rPr>
          <w:rFonts w:ascii="Times New Roman" w:hAnsi="Times New Roman"/>
          <w:sz w:val="28"/>
        </w:rPr>
        <w:t>115А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>23,1В</w:t>
      </w:r>
      <w:r>
        <w:rPr>
          <w:rFonts w:ascii="Times New Roman" w:hAnsi="Times New Roman"/>
          <w:sz w:val="28"/>
        </w:rPr>
        <w:t xml:space="preserve">, импульсный, положение </w:t>
      </w:r>
      <w:r>
        <w:rPr>
          <w:rFonts w:ascii="Times New Roman" w:hAnsi="Times New Roman"/>
          <w:sz w:val="28"/>
        </w:rPr>
        <w:t>PB</w:t>
      </w:r>
    </w:p>
    <w:p w14:paraId="77000000">
      <w:pPr>
        <w:spacing w:after="0" w:line="360" w:lineRule="auto"/>
        <w:ind w:firstLine="709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Из полученных данных, а точнее из макрошлифов, четко и ясно прослеживается изменение таких параметров как: глубина проплавления,</w:t>
      </w:r>
      <w:r>
        <w:rPr>
          <w:rFonts w:ascii="Times New Roman" w:hAnsi="Times New Roman"/>
          <w:sz w:val="28"/>
        </w:rPr>
        <w:t xml:space="preserve"> длина п</w:t>
      </w:r>
      <w:r>
        <w:rPr>
          <w:rFonts w:ascii="Times New Roman" w:hAnsi="Times New Roman"/>
          <w:sz w:val="28"/>
        </w:rPr>
        <w:t>роплавления и катет шва (табл. 5</w:t>
      </w:r>
      <w:r>
        <w:rPr>
          <w:rFonts w:ascii="Times New Roman" w:hAnsi="Times New Roman"/>
          <w:sz w:val="28"/>
        </w:rPr>
        <w:t>).</w:t>
      </w:r>
      <w:r>
        <w:rPr>
          <w:rFonts w:ascii="Times New Roman" w:hAnsi="Times New Roman"/>
          <w:sz w:val="28"/>
        </w:rPr>
        <w:t xml:space="preserve"> Основываясь на полученных данных из макрошлифов, можно более точно выбрать смесь, которая будет </w:t>
      </w:r>
      <w:r>
        <w:rPr>
          <w:rFonts w:ascii="Times New Roman" w:hAnsi="Times New Roman"/>
          <w:sz w:val="28"/>
        </w:rPr>
        <w:t xml:space="preserve">соответствовать </w:t>
      </w:r>
      <w:r>
        <w:rPr>
          <w:rFonts w:ascii="Times New Roman" w:hAnsi="Times New Roman"/>
          <w:sz w:val="28"/>
        </w:rPr>
        <w:t>нашим требованиям, а именно смесь, которая будет более-менее снижать потерю на угар и разбрызгивание при автоматической сварке плавящимся эле</w:t>
      </w:r>
      <w:r>
        <w:rPr>
          <w:rFonts w:ascii="Times New Roman" w:hAnsi="Times New Roman"/>
          <w:sz w:val="28"/>
        </w:rPr>
        <w:t>ктродом и при ручной дуговой.</w:t>
      </w:r>
    </w:p>
    <w:p w14:paraId="78000000">
      <w:pPr>
        <w:spacing w:after="0" w:line="360" w:lineRule="auto"/>
        <w:ind w:firstLine="709" w:left="0"/>
        <w:jc w:val="both"/>
        <w:rPr>
          <w:rFonts w:ascii="Times New Roman" w:hAnsi="Times New Roman"/>
          <w:sz w:val="28"/>
        </w:rPr>
      </w:pPr>
    </w:p>
    <w:p w14:paraId="79000000">
      <w:pPr>
        <w:spacing w:after="0" w:line="360" w:lineRule="auto"/>
        <w:ind w:firstLine="709" w:left="0"/>
        <w:jc w:val="both"/>
        <w:rPr>
          <w:rFonts w:ascii="Times New Roman" w:hAnsi="Times New Roman"/>
          <w:sz w:val="28"/>
        </w:rPr>
      </w:pPr>
    </w:p>
    <w:p w14:paraId="7A000000">
      <w:pPr>
        <w:spacing w:after="0" w:line="360" w:lineRule="auto"/>
        <w:ind w:firstLine="709" w:left="0"/>
        <w:jc w:val="both"/>
        <w:rPr>
          <w:rFonts w:ascii="Times New Roman" w:hAnsi="Times New Roman"/>
          <w:sz w:val="28"/>
        </w:rPr>
      </w:pPr>
    </w:p>
    <w:p w14:paraId="7B000000">
      <w:pPr>
        <w:spacing w:after="0" w:line="360" w:lineRule="auto"/>
        <w:ind w:firstLine="709" w:left="0"/>
        <w:jc w:val="both"/>
        <w:rPr>
          <w:rFonts w:ascii="Times New Roman" w:hAnsi="Times New Roman"/>
          <w:sz w:val="28"/>
        </w:rPr>
      </w:pPr>
    </w:p>
    <w:p w14:paraId="7C000000">
      <w:pPr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Таблица 5</w:t>
      </w:r>
      <w:r>
        <w:rPr>
          <w:rFonts w:ascii="Times New Roman" w:hAnsi="Times New Roman"/>
          <w:sz w:val="28"/>
        </w:rPr>
        <w:t>. Параметры сварки и результаты макрошлифов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sz w:val="28"/>
          <w:u w:val="single"/>
        </w:rPr>
        <w:t>ручная дуговая сварка</w:t>
      </w:r>
      <w:r>
        <w:rPr>
          <w:rFonts w:ascii="Times New Roman" w:hAnsi="Times New Roman"/>
          <w:sz w:val="28"/>
        </w:rPr>
        <w:t>)</w:t>
      </w:r>
    </w:p>
    <w:p w14:paraId="7D000000">
      <w:pPr>
        <w:spacing w:after="0" w:line="360" w:lineRule="auto"/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drawing>
          <wp:inline>
            <wp:extent cx="5934075" cy="3609975"/>
            <wp:effectExtent b="0" l="0" r="0" t="0"/>
            <wp:docPr hidden="false" id="15" name="Picture 15"/>
            <a:graphic>
              <a:graphicData uri="http://schemas.openxmlformats.org/drawingml/2006/picture">
                <pic:pic>
                  <pic:nvPicPr>
                    <pic:cNvPr hidden="false" id="16" name="Picture 16"/>
                    <pic:cNvPicPr preferRelativeResize="true"/>
                  </pic:nvPicPr>
                  <pic:blipFill>
                    <a:blip r:embed="rId12"/>
                    <a:srcRect b="0" l="0" r="0" t="0"/>
                    <a:stretch/>
                  </pic:blipFill>
                  <pic:spPr>
                    <a:xfrm flipH="false" flipV="false" rot="0">
                      <a:ext cx="5934075" cy="36099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E000000">
      <w:pPr>
        <w:spacing w:after="0" w:line="360" w:lineRule="auto"/>
        <w:ind/>
        <w:jc w:val="center"/>
        <w:rPr>
          <w:rFonts w:ascii="Times New Roman" w:hAnsi="Times New Roman"/>
          <w:sz w:val="28"/>
        </w:rPr>
      </w:pPr>
    </w:p>
    <w:p w14:paraId="7F000000">
      <w:pPr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Таблица 5. Параметры сварки и результаты макрошлифов (</w:t>
      </w:r>
      <w:r>
        <w:rPr>
          <w:rFonts w:ascii="Times New Roman" w:hAnsi="Times New Roman"/>
          <w:sz w:val="28"/>
          <w:u w:val="single"/>
        </w:rPr>
        <w:t>автоматическая сварка</w:t>
      </w:r>
      <w:r>
        <w:rPr>
          <w:rFonts w:ascii="Times New Roman" w:hAnsi="Times New Roman"/>
          <w:sz w:val="28"/>
        </w:rPr>
        <w:t>)</w:t>
      </w:r>
    </w:p>
    <w:p w14:paraId="80000000">
      <w:pPr>
        <w:spacing w:after="0" w:line="360" w:lineRule="auto"/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drawing>
          <wp:inline>
            <wp:extent cx="5934075" cy="2314575"/>
            <wp:effectExtent b="0" l="0" r="0" t="0"/>
            <wp:docPr hidden="false" id="17" name="Picture 17"/>
            <a:graphic>
              <a:graphicData uri="http://schemas.openxmlformats.org/drawingml/2006/picture">
                <pic:pic>
                  <pic:nvPicPr>
                    <pic:cNvPr hidden="false" id="18" name="Picture 18"/>
                    <pic:cNvPicPr preferRelativeResize="true"/>
                  </pic:nvPicPr>
                  <pic:blipFill>
                    <a:blip r:embed="rId13"/>
                    <a:srcRect b="0" l="0" r="0" t="0"/>
                    <a:stretch/>
                  </pic:blipFill>
                  <pic:spPr>
                    <a:xfrm flipH="false" flipV="false" rot="0">
                      <a:ext cx="5934075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81000000">
      <w:pPr>
        <w:pStyle w:val="Style_5"/>
        <w:spacing w:after="0" w:line="360" w:lineRule="auto"/>
        <w:ind w:firstLine="0" w:left="0"/>
        <w:jc w:val="both"/>
        <w:rPr>
          <w:rFonts w:ascii="Times New Roman" w:hAnsi="Times New Roman"/>
          <w:sz w:val="28"/>
        </w:rPr>
      </w:pPr>
    </w:p>
    <w:p w14:paraId="82000000">
      <w:pPr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Заключение</w:t>
      </w:r>
    </w:p>
    <w:p w14:paraId="83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1. Разработана методика исследования формообразования сварного шва при сварке плавящимся электродом с традиционной и двухструйной газовой защитой: наплавка валиков на сталь 45 толщиной 2 мм проволокой Св-08Г2С диаметром 1,2 мм в смеси Ar + CO₂ с последующим макроструктурным анализом.</w:t>
      </w:r>
    </w:p>
    <w:p w14:paraId="84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2. Апробирована методика определения геометрических параметров шва: поперечная распиловка, шлифование, травление хлоридом железа (III), микроскопия на Olympus GX41 SC30. Масштабирование по известной толщине металла обеспечило достоверное измерение ширины шва, выпуклости, глубины провара и катета.</w:t>
      </w:r>
    </w:p>
    <w:p w14:paraId="85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 Установлено, что изменение состава защитной смеси, расхода газа и положения горелки (PG, PB, PF) существенно влияет на глубину и длину проплавления и катет шва. Это требует корректировки режимов при переходе между пространственными положениями.</w:t>
      </w:r>
    </w:p>
    <w:p w14:paraId="86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4. Результаты макрошлифов позволяют обоснованно выбирать состав защитной смеси, обеспечивающий требуемую геометрию шва при минимальных потерях металла на угар и разбрызгивание — как для ручной дуговой, так и для автоматической сварки.</w:t>
      </w:r>
    </w:p>
    <w:p w14:paraId="87000000">
      <w:pPr>
        <w:pStyle w:val="Style_5"/>
        <w:spacing w:after="0" w:line="360" w:lineRule="auto"/>
        <w:ind w:firstLine="0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Таким образом, поставленная цель достигнута: экспериментально подтверждена возможность управления качеством формирования шва за счёт параметров газовой защиты. Полученные данные могут использоваться при разработке технологических процессов сварки и подготовке перехода от ручной сварки к автоматической.</w:t>
      </w:r>
    </w:p>
    <w:p w14:paraId="88000000">
      <w:pPr>
        <w:pStyle w:val="Style_5"/>
        <w:spacing w:after="0" w:line="360" w:lineRule="auto"/>
        <w:ind w:firstLine="0" w:left="0"/>
        <w:jc w:val="both"/>
        <w:rPr>
          <w:rFonts w:ascii="Times New Roman" w:hAnsi="Times New Roman"/>
          <w:sz w:val="28"/>
        </w:rPr>
      </w:pPr>
    </w:p>
    <w:p w14:paraId="89000000">
      <w:pPr>
        <w:spacing w:after="0" w:before="0"/>
        <w:ind w:firstLine="0" w:left="0" w:right="0"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СПИСОК ИСПОЛЬЗОВАННОЙ ЛИТЕРАТУРЫ</w:t>
      </w:r>
    </w:p>
    <w:p w14:paraId="8A000000">
      <w:pPr>
        <w:numPr>
          <w:ilvl w:val="0"/>
          <w:numId w:val="1"/>
        </w:numPr>
        <w:spacing w:after="0" w:before="0"/>
        <w:ind w:firstLine="0" w:left="0" w:right="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Козловский, С.Н. Введение в сварочные технологии: учеб. пособие / С.Н. Козловский. — Электрон. дан. — Санкт-Петербург: Лань, 2011. — 416 с. — Электронный ресурс: https://e.lanbook.com/book/700.</w:t>
      </w:r>
    </w:p>
    <w:p w14:paraId="8B000000">
      <w:pPr>
        <w:numPr>
          <w:ilvl w:val="0"/>
          <w:numId w:val="1"/>
        </w:numPr>
        <w:spacing w:after="0" w:before="0"/>
        <w:ind w:firstLine="0" w:left="0" w:right="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Гладков, Э.А. Управление технологическими параметрами сварочного оборудования для дуговой сварки: учеб. пособие — Электрон. дан. — Москва: МГТУ им. Н.Э. Баумана, 2007. — 148 с. — Электронный ресурс: https://e.lanbook.com/book/62060.</w:t>
      </w:r>
    </w:p>
    <w:p w14:paraId="8C000000">
      <w:pPr>
        <w:numPr>
          <w:ilvl w:val="0"/>
          <w:numId w:val="1"/>
        </w:numPr>
        <w:spacing w:after="0" w:before="0"/>
        <w:ind w:firstLine="0" w:left="0" w:right="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Любавский К. В., Новожилов Н. М. сварка плавящимся электродом в атмосфере защитных газов // автоген. дело. – 1953. – № 1. – с. 4–8. 2.</w:t>
      </w:r>
    </w:p>
    <w:p w14:paraId="8D000000">
      <w:pPr>
        <w:numPr>
          <w:ilvl w:val="0"/>
          <w:numId w:val="1"/>
        </w:numPr>
        <w:spacing w:after="0" w:before="0"/>
        <w:ind w:firstLine="0" w:left="0" w:right="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Газовые смеси как способ совершенствования процессов сварки mig/mag. Крюков А.В., Павлов Н.В. «Национальный исследовательский Томский политехнический университет», Юрга, Россия</w:t>
      </w:r>
    </w:p>
    <w:p w14:paraId="8E000000">
      <w:pPr>
        <w:numPr>
          <w:ilvl w:val="0"/>
          <w:numId w:val="1"/>
        </w:numPr>
        <w:spacing w:after="0" w:before="0"/>
        <w:ind w:firstLine="0" w:left="0" w:right="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Патон Б. Е., Потапьевский А. Г., Подола И. В. импульсно-дуговая сварка плавящимся электродом с программным регулированием процесса // автомат. сварка. – 1964. – № 1. – с. 1–6. 4. Патон Б. Е., Воропай Н. М., Бучинский В. Н. и др. Управление процессом дуговой сварки путем программирования скорости подачи электродной проволоки // там же. – 1977. – № 1. – с. 1–5, 15.</w:t>
      </w:r>
      <w:r>
        <w:rPr>
          <w:rFonts w:ascii="Times New Roman" w:hAnsi="Times New Roman"/>
          <w:color w:val="000000"/>
          <w:sz w:val="28"/>
        </w:rPr>
        <w:t> </w:t>
      </w:r>
    </w:p>
    <w:p w14:paraId="8F000000">
      <w:pPr>
        <w:numPr>
          <w:ilvl w:val="0"/>
          <w:numId w:val="1"/>
        </w:numPr>
        <w:spacing w:after="0" w:before="0"/>
        <w:ind w:firstLine="0" w:left="0" w:right="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Князьков А.Ф., Князьков В.Л. Исследование сварочно-технологических свойств покрытых электродов при сварке модулированным током // Сварочное производство - 2011 - №10 - С. 15-18.</w:t>
      </w:r>
    </w:p>
    <w:p w14:paraId="90000000">
      <w:pPr>
        <w:numPr>
          <w:ilvl w:val="0"/>
          <w:numId w:val="1"/>
        </w:numPr>
        <w:spacing w:after="0" w:before="0"/>
        <w:ind w:firstLine="0" w:left="0" w:right="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Свецинский В. Г., Римский С. Т., Кирьян В. И. Оценка вязкости разрушения швов, сваренных в защитных газах и под флюсом // там же. – 1982. – № 8. – с. 16–19.</w:t>
      </w:r>
    </w:p>
    <w:p w14:paraId="91000000">
      <w:pPr>
        <w:numPr>
          <w:ilvl w:val="0"/>
          <w:numId w:val="1"/>
        </w:numPr>
        <w:spacing w:after="0" w:before="0"/>
        <w:ind w:firstLine="0" w:left="0" w:right="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http://xn--90airv6f.xn--p1ai/upload/file/besshovnye_poroshkovye_provoloki.pdf</w:t>
      </w:r>
    </w:p>
    <w:p w14:paraId="92000000">
      <w:pPr>
        <w:numPr>
          <w:ilvl w:val="0"/>
          <w:numId w:val="1"/>
        </w:numPr>
        <w:spacing w:after="0" w:before="0"/>
        <w:ind w:firstLine="0" w:left="0" w:right="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Аверченков В.И. Основы научного творчества [Электронный ресурс]: учеб. пособие/ В.И. Аверченков, Ю.А. Малахов. — Брянск: Брянский государственный технический университет, 2012. — 156 c.— Режим доступа: http://www.iprbookshop.ru/7004.</w:t>
      </w:r>
    </w:p>
    <w:p w14:paraId="93000000">
      <w:pPr>
        <w:numPr>
          <w:ilvl w:val="0"/>
          <w:numId w:val="1"/>
        </w:numPr>
        <w:spacing w:after="0" w:before="0"/>
        <w:ind w:firstLine="0" w:left="0" w:right="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Рыжков И.Б. Основы научных исследований и изобретательства. [Электронный ресурс]: учеб. пособие / И.Б. Рыжков. — СПб.: Лань, 2019. — 224 с. — Режим доступа: https://e.lanbook.com/book/116011.</w:t>
      </w:r>
      <w:r>
        <w:rPr>
          <w:rFonts w:ascii="Times New Roman" w:hAnsi="Times New Roman"/>
          <w:color w:val="000000"/>
          <w:sz w:val="28"/>
        </w:rPr>
        <w:t> </w:t>
      </w:r>
    </w:p>
    <w:p w14:paraId="94000000">
      <w:pPr>
        <w:numPr>
          <w:ilvl w:val="0"/>
          <w:numId w:val="1"/>
        </w:numPr>
        <w:spacing w:after="0" w:before="0"/>
        <w:ind w:firstLine="0" w:left="0" w:right="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Астанина С.Ю. Научно-исследовательская работа студентов (современные требования, проблемы и их решения) [Электронный ресурс]: монография/ С.Ю. Астанина, Н.В. Шестак, Е.В. Чмыхова. — М.: Современная гуманитарная академия, 2012. — 156 c.— Режим доступа: http://www.iprbookshop.ru/16934.</w:t>
      </w:r>
    </w:p>
    <w:p w14:paraId="95000000">
      <w:pPr>
        <w:numPr>
          <w:ilvl w:val="0"/>
          <w:numId w:val="1"/>
        </w:numPr>
        <w:spacing w:after="0" w:before="0"/>
        <w:ind w:firstLine="0" w:left="0" w:right="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Комлацкий, В. И. Планирование и организация научных исследований [Электронный ресурс]: учебное пособие / В. И. Комлацкий, С. В. Логинов, Г. В. Комлацкий. — Ростов-на-Дону: Феникс, 2014. — 205 c.— URL: http://www.iprbookshop.ru/58980.html</w:t>
      </w:r>
    </w:p>
    <w:p w14:paraId="96000000">
      <w:pPr>
        <w:numPr>
          <w:ilvl w:val="0"/>
          <w:numId w:val="1"/>
        </w:numPr>
        <w:spacing w:after="0" w:before="0"/>
        <w:ind w:firstLine="0" w:left="0" w:right="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Мокий, М.С. Методология научных исследований [Текст]: учебник / М.С. Мокий, А.Л. Никифоров, В.С. Мокий. - М.: Юрайт, 2015. - 255 с.</w:t>
      </w:r>
    </w:p>
    <w:p w14:paraId="97000000">
      <w:pPr>
        <w:pStyle w:val="Style_5"/>
        <w:spacing w:after="0" w:line="360" w:lineRule="auto"/>
        <w:ind w:firstLine="0" w:left="0"/>
        <w:jc w:val="both"/>
        <w:rPr>
          <w:rFonts w:ascii="Times New Roman" w:hAnsi="Times New Roman"/>
          <w:sz w:val="28"/>
        </w:rPr>
      </w:pPr>
    </w:p>
    <w:sectPr>
      <w:footerReference r:id="rId1" w:type="default"/>
      <w:pgSz w:h="16838" w:orient="portrait" w:w="11906"/>
      <w:pgMar w:bottom="1134" w:footer="708" w:gutter="0" w:header="708" w:left="1701" w:right="850" w:top="1134"/>
      <w:pgNumType w:start="1"/>
      <w:titlePg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footer1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  <w:ind/>
      <w:jc w:val="center"/>
      <w:rPr>
        <w:rFonts w:ascii="Times New Roman" w:hAnsi="Times New Roman"/>
        <w:sz w:val="28"/>
      </w:rPr>
    </w:pPr>
    <w:r>
      <w:rPr>
        <w:rFonts w:ascii="Times New Roman" w:hAnsi="Times New Roman"/>
        <w:sz w:val="28"/>
      </w:rPr>
      <w:fldChar w:fldCharType="begin"/>
    </w:r>
    <w:r>
      <w:rPr>
        <w:rFonts w:ascii="Times New Roman" w:hAnsi="Times New Roman"/>
        <w:sz w:val="28"/>
      </w:rPr>
      <w:instrText xml:space="preserve">PAGE </w:instrText>
    </w:r>
    <w:r>
      <w:rPr>
        <w:rFonts w:ascii="Times New Roman" w:hAnsi="Times New Roman"/>
        <w:sz w:val="28"/>
      </w:rPr>
      <w:fldChar w:fldCharType="separate"/>
    </w:r>
    <w:r>
      <w:rPr>
        <w:rFonts w:ascii="Times New Roman" w:hAnsi="Times New Roman"/>
        <w:sz w:val="28"/>
      </w:rPr>
      <w:t xml:space="preserve"> </w:t>
    </w:r>
    <w:r>
      <w:rPr>
        <w:rFonts w:ascii="Times New Roman" w:hAnsi="Times New Roman"/>
        <w:sz w:val="28"/>
      </w:rPr>
      <w:fldChar w:fldCharType="end"/>
    </w:r>
  </w:p>
  <w:p w14:paraId="02000000">
    <w:pPr>
      <w:pStyle w:val="Style_1"/>
    </w:pPr>
  </w:p>
</w:ftr>
</file>

<file path=word/footer2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3000000">
    <w:pPr>
      <w:pStyle w:val="Style_1"/>
      <w:ind/>
      <w:jc w:val="center"/>
      <w:rPr>
        <w:rFonts w:ascii="Times New Roman" w:hAnsi="Times New Roman"/>
        <w:sz w:val="28"/>
      </w:rPr>
    </w:pPr>
    <w:r>
      <w:rPr>
        <w:rFonts w:ascii="Times New Roman" w:hAnsi="Times New Roman"/>
        <w:sz w:val="28"/>
      </w:rPr>
      <w:fldChar w:fldCharType="begin"/>
    </w:r>
    <w:r>
      <w:rPr>
        <w:rFonts w:ascii="Times New Roman" w:hAnsi="Times New Roman"/>
        <w:sz w:val="28"/>
      </w:rPr>
      <w:instrText xml:space="preserve">PAGE </w:instrText>
    </w:r>
    <w:r>
      <w:rPr>
        <w:rFonts w:ascii="Times New Roman" w:hAnsi="Times New Roman"/>
        <w:sz w:val="28"/>
      </w:rPr>
      <w:fldChar w:fldCharType="separate"/>
    </w:r>
    <w:r>
      <w:rPr>
        <w:rFonts w:ascii="Times New Roman" w:hAnsi="Times New Roman"/>
        <w:sz w:val="28"/>
      </w:rPr>
      <w:t xml:space="preserve"> </w:t>
    </w:r>
    <w:r>
      <w:rPr>
        <w:rFonts w:ascii="Times New Roman" w:hAnsi="Times New Roman"/>
        <w:sz w:val="28"/>
      </w:rPr>
      <w:fldChar w:fldCharType="end"/>
    </w:r>
  </w:p>
  <w:p w14:paraId="04000000">
    <w:pPr>
      <w:pStyle w:val="Style_1"/>
    </w:pPr>
  </w:p>
</w:ftr>
</file>

<file path=word/footer3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5000000">
    <w:pPr>
      <w:pStyle w:val="Style_1"/>
      <w:ind/>
      <w:jc w:val="center"/>
      <w:rPr>
        <w:rFonts w:ascii="Times New Roman" w:hAnsi="Times New Roman"/>
        <w:sz w:val="28"/>
      </w:rPr>
    </w:pPr>
    <w:r>
      <w:rPr>
        <w:rFonts w:ascii="Times New Roman" w:hAnsi="Times New Roman"/>
        <w:sz w:val="28"/>
      </w:rPr>
      <w:fldChar w:fldCharType="begin"/>
    </w:r>
    <w:r>
      <w:rPr>
        <w:rFonts w:ascii="Times New Roman" w:hAnsi="Times New Roman"/>
        <w:sz w:val="28"/>
      </w:rPr>
      <w:instrText xml:space="preserve">PAGE </w:instrText>
    </w:r>
    <w:r>
      <w:rPr>
        <w:rFonts w:ascii="Times New Roman" w:hAnsi="Times New Roman"/>
        <w:sz w:val="28"/>
      </w:rPr>
      <w:fldChar w:fldCharType="separate"/>
    </w:r>
    <w:r>
      <w:rPr>
        <w:rFonts w:ascii="Times New Roman" w:hAnsi="Times New Roman"/>
        <w:sz w:val="28"/>
      </w:rPr>
      <w:t xml:space="preserve"> </w:t>
    </w:r>
    <w:r>
      <w:rPr>
        <w:rFonts w:ascii="Times New Roman" w:hAnsi="Times New Roman"/>
        <w:sz w:val="28"/>
      </w:rPr>
      <w:fldChar w:fldCharType="end"/>
    </w:r>
  </w:p>
  <w:p w14:paraId="06000000">
    <w:pPr>
      <w:pStyle w:val="Style_1"/>
    </w:pPr>
  </w:p>
</w:ftr>
</file>

<file path=word/footer4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7000000">
    <w:pPr>
      <w:pStyle w:val="Style_1"/>
      <w:ind/>
      <w:jc w:val="center"/>
      <w:rPr>
        <w:rFonts w:ascii="Times New Roman" w:hAnsi="Times New Roman"/>
        <w:sz w:val="28"/>
      </w:rPr>
    </w:pPr>
    <w:r>
      <w:rPr>
        <w:rFonts w:ascii="Times New Roman" w:hAnsi="Times New Roman"/>
        <w:sz w:val="28"/>
      </w:rPr>
      <w:fldChar w:fldCharType="begin"/>
    </w:r>
    <w:r>
      <w:rPr>
        <w:rFonts w:ascii="Times New Roman" w:hAnsi="Times New Roman"/>
        <w:sz w:val="28"/>
      </w:rPr>
      <w:instrText xml:space="preserve">PAGE </w:instrText>
    </w:r>
    <w:r>
      <w:rPr>
        <w:rFonts w:ascii="Times New Roman" w:hAnsi="Times New Roman"/>
        <w:sz w:val="28"/>
      </w:rPr>
      <w:fldChar w:fldCharType="separate"/>
    </w:r>
    <w:r>
      <w:rPr>
        <w:rFonts w:ascii="Times New Roman" w:hAnsi="Times New Roman"/>
        <w:sz w:val="28"/>
      </w:rPr>
      <w:t xml:space="preserve"> </w:t>
    </w:r>
    <w:r>
      <w:rPr>
        <w:rFonts w:ascii="Times New Roman" w:hAnsi="Times New Roman"/>
        <w:sz w:val="28"/>
      </w:rPr>
      <w:fldChar w:fldCharType="end"/>
    </w:r>
  </w:p>
  <w:p w14:paraId="08000000">
    <w:pPr>
      <w:pStyle w:val="Style_1"/>
    </w:pPr>
  </w:p>
</w:ftr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pPr>
        <w:ind w:hanging="360" w:left="720"/>
      </w:pPr>
    </w:lvl>
    <w:lvl w:ilvl="1">
      <w:start w:val="1"/>
      <w:numFmt w:val="lowerLetter"/>
      <w:lvlText w:val="%2.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pPr>
        <w:ind w:hanging="360" w:left="2880"/>
      </w:pPr>
    </w:lvl>
    <w:lvl w:ilvl="4">
      <w:start w:val="1"/>
      <w:numFmt w:val="lowerLetter"/>
      <w:lvlText w:val="%5.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lowerLett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num w:numId="1">
    <w:abstractNumId w:val="0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spacing w:after="160" w:before="0" w:line="264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2" w:type="paragraph">
    <w:name w:val="Normal"/>
    <w:link w:val="Style_2_ch"/>
    <w:uiPriority w:val="0"/>
    <w:qFormat/>
  </w:style>
  <w:style w:default="1" w:styleId="Style_2_ch" w:type="character">
    <w:name w:val="Normal"/>
    <w:link w:val="Style_2"/>
  </w:style>
  <w:style w:styleId="Style_6" w:type="paragraph">
    <w:name w:val="toc 2"/>
    <w:next w:val="Style_2"/>
    <w:link w:val="Style_6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6_ch" w:type="character">
    <w:name w:val="toc 2"/>
    <w:link w:val="Style_6"/>
    <w:rPr>
      <w:rFonts w:ascii="XO Thames" w:hAnsi="XO Thames"/>
      <w:sz w:val="28"/>
    </w:rPr>
  </w:style>
  <w:style w:styleId="Style_7" w:type="paragraph">
    <w:name w:val="toc 4"/>
    <w:next w:val="Style_2"/>
    <w:link w:val="Style_7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7_ch" w:type="character">
    <w:name w:val="toc 4"/>
    <w:link w:val="Style_7"/>
    <w:rPr>
      <w:rFonts w:ascii="XO Thames" w:hAnsi="XO Thames"/>
      <w:sz w:val="28"/>
    </w:rPr>
  </w:style>
  <w:style w:styleId="Style_8" w:type="paragraph">
    <w:name w:val="toc 6"/>
    <w:next w:val="Style_2"/>
    <w:link w:val="Style_8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8_ch" w:type="character">
    <w:name w:val="toc 6"/>
    <w:link w:val="Style_8"/>
    <w:rPr>
      <w:rFonts w:ascii="XO Thames" w:hAnsi="XO Thames"/>
      <w:sz w:val="28"/>
    </w:rPr>
  </w:style>
  <w:style w:styleId="Style_9" w:type="paragraph">
    <w:name w:val="toc 7"/>
    <w:next w:val="Style_2"/>
    <w:link w:val="Style_9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9_ch" w:type="character">
    <w:name w:val="toc 7"/>
    <w:link w:val="Style_9"/>
    <w:rPr>
      <w:rFonts w:ascii="XO Thames" w:hAnsi="XO Thames"/>
      <w:sz w:val="28"/>
    </w:rPr>
  </w:style>
  <w:style w:styleId="Style_10" w:type="paragraph">
    <w:name w:val="Endnote"/>
    <w:link w:val="Style_10_ch"/>
    <w:pPr>
      <w:ind w:firstLine="851" w:left="0"/>
      <w:jc w:val="both"/>
    </w:pPr>
    <w:rPr>
      <w:rFonts w:ascii="XO Thames" w:hAnsi="XO Thames"/>
      <w:sz w:val="22"/>
    </w:rPr>
  </w:style>
  <w:style w:styleId="Style_10_ch" w:type="character">
    <w:name w:val="Endnote"/>
    <w:link w:val="Style_10"/>
    <w:rPr>
      <w:rFonts w:ascii="XO Thames" w:hAnsi="XO Thames"/>
      <w:sz w:val="22"/>
    </w:rPr>
  </w:style>
  <w:style w:styleId="Style_11" w:type="paragraph">
    <w:name w:val="heading 3"/>
    <w:basedOn w:val="Style_2"/>
    <w:next w:val="Style_2"/>
    <w:link w:val="Style_11_ch"/>
    <w:uiPriority w:val="9"/>
    <w:qFormat/>
    <w:pPr>
      <w:keepNext w:val="1"/>
      <w:keepLines w:val="1"/>
      <w:spacing w:after="0" w:before="40"/>
      <w:ind/>
      <w:outlineLvl w:val="2"/>
    </w:pPr>
    <w:rPr>
      <w:rFonts w:asciiTheme="majorAscii" w:hAnsiTheme="majorHAnsi"/>
      <w:color w:themeColor="accent1" w:themeShade="7F" w:val="1F4E79"/>
      <w:sz w:val="24"/>
    </w:rPr>
  </w:style>
  <w:style w:styleId="Style_11_ch" w:type="character">
    <w:name w:val="heading 3"/>
    <w:basedOn w:val="Style_2_ch"/>
    <w:link w:val="Style_11"/>
    <w:rPr>
      <w:rFonts w:asciiTheme="majorAscii" w:hAnsiTheme="majorHAnsi"/>
      <w:color w:themeColor="accent1" w:themeShade="7F" w:val="1F4E79"/>
      <w:sz w:val="24"/>
    </w:rPr>
  </w:style>
  <w:style w:styleId="Style_12" w:type="paragraph">
    <w:name w:val="search"/>
    <w:basedOn w:val="Style_13"/>
    <w:link w:val="Style_12_ch"/>
  </w:style>
  <w:style w:styleId="Style_12_ch" w:type="character">
    <w:name w:val="search"/>
    <w:basedOn w:val="Style_13_ch"/>
    <w:link w:val="Style_12"/>
  </w:style>
  <w:style w:styleId="Style_14" w:type="paragraph">
    <w:name w:val="Normal (Web)"/>
    <w:basedOn w:val="Style_2"/>
    <w:link w:val="Style_14_ch"/>
    <w:pPr>
      <w:spacing w:afterAutospacing="on" w:beforeAutospacing="on" w:line="240" w:lineRule="auto"/>
      <w:ind/>
    </w:pPr>
    <w:rPr>
      <w:rFonts w:ascii="Times New Roman" w:hAnsi="Times New Roman"/>
      <w:sz w:val="24"/>
    </w:rPr>
  </w:style>
  <w:style w:styleId="Style_14_ch" w:type="character">
    <w:name w:val="Normal (Web)"/>
    <w:basedOn w:val="Style_2_ch"/>
    <w:link w:val="Style_14"/>
    <w:rPr>
      <w:rFonts w:ascii="Times New Roman" w:hAnsi="Times New Roman"/>
      <w:sz w:val="24"/>
    </w:rPr>
  </w:style>
  <w:style w:styleId="Style_15" w:type="paragraph">
    <w:name w:val="Balloon Text"/>
    <w:basedOn w:val="Style_2"/>
    <w:link w:val="Style_15_ch"/>
    <w:pPr>
      <w:spacing w:after="0" w:line="240" w:lineRule="auto"/>
      <w:ind/>
    </w:pPr>
    <w:rPr>
      <w:rFonts w:ascii="Tahoma" w:hAnsi="Tahoma"/>
      <w:sz w:val="16"/>
    </w:rPr>
  </w:style>
  <w:style w:styleId="Style_15_ch" w:type="character">
    <w:name w:val="Balloon Text"/>
    <w:basedOn w:val="Style_2_ch"/>
    <w:link w:val="Style_15"/>
    <w:rPr>
      <w:rFonts w:ascii="Tahoma" w:hAnsi="Tahoma"/>
      <w:sz w:val="16"/>
    </w:rPr>
  </w:style>
  <w:style w:styleId="Style_16" w:type="paragraph">
    <w:name w:val="toc 3"/>
    <w:next w:val="Style_2"/>
    <w:link w:val="Style_16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6_ch" w:type="character">
    <w:name w:val="toc 3"/>
    <w:link w:val="Style_16"/>
    <w:rPr>
      <w:rFonts w:ascii="XO Thames" w:hAnsi="XO Thames"/>
      <w:sz w:val="28"/>
    </w:rPr>
  </w:style>
  <w:style w:styleId="Style_17" w:type="paragraph">
    <w:name w:val="Body Text"/>
    <w:basedOn w:val="Style_2"/>
    <w:link w:val="Style_17_ch"/>
    <w:pPr>
      <w:spacing w:after="0" w:line="240" w:lineRule="auto"/>
      <w:ind/>
    </w:pPr>
    <w:rPr>
      <w:rFonts w:ascii="Times New Roman" w:hAnsi="Times New Roman"/>
      <w:sz w:val="24"/>
    </w:rPr>
  </w:style>
  <w:style w:styleId="Style_17_ch" w:type="character">
    <w:name w:val="Body Text"/>
    <w:basedOn w:val="Style_2_ch"/>
    <w:link w:val="Style_17"/>
    <w:rPr>
      <w:rFonts w:ascii="Times New Roman" w:hAnsi="Times New Roman"/>
      <w:sz w:val="24"/>
    </w:rPr>
  </w:style>
  <w:style w:styleId="Style_13" w:type="paragraph">
    <w:name w:val="Default Paragraph Font"/>
    <w:link w:val="Style_13_ch"/>
  </w:style>
  <w:style w:styleId="Style_13_ch" w:type="character">
    <w:name w:val="Default Paragraph Font"/>
    <w:link w:val="Style_13"/>
  </w:style>
  <w:style w:styleId="Style_18" w:type="paragraph">
    <w:name w:val="heading 5"/>
    <w:next w:val="Style_2"/>
    <w:link w:val="Style_18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8_ch" w:type="character">
    <w:name w:val="heading 5"/>
    <w:link w:val="Style_18"/>
    <w:rPr>
      <w:rFonts w:ascii="XO Thames" w:hAnsi="XO Thames"/>
      <w:b w:val="1"/>
      <w:sz w:val="22"/>
    </w:rPr>
  </w:style>
  <w:style w:styleId="Style_3" w:type="paragraph">
    <w:name w:val="heading 1"/>
    <w:basedOn w:val="Style_2"/>
    <w:next w:val="Style_2"/>
    <w:link w:val="Style_3_ch"/>
    <w:uiPriority w:val="9"/>
    <w:qFormat/>
    <w:pPr>
      <w:keepNext w:val="1"/>
      <w:keepLines w:val="1"/>
      <w:spacing w:after="0" w:before="240"/>
      <w:ind/>
      <w:outlineLvl w:val="0"/>
    </w:pPr>
    <w:rPr>
      <w:rFonts w:asciiTheme="majorAscii" w:hAnsiTheme="majorHAnsi"/>
      <w:color w:themeColor="accent1" w:themeShade="BF" w:val="2E75B5"/>
      <w:sz w:val="32"/>
    </w:rPr>
  </w:style>
  <w:style w:styleId="Style_3_ch" w:type="character">
    <w:name w:val="heading 1"/>
    <w:basedOn w:val="Style_2_ch"/>
    <w:link w:val="Style_3"/>
    <w:rPr>
      <w:rFonts w:asciiTheme="majorAscii" w:hAnsiTheme="majorHAnsi"/>
      <w:color w:themeColor="accent1" w:themeShade="BF" w:val="2E75B5"/>
      <w:sz w:val="32"/>
    </w:rPr>
  </w:style>
  <w:style w:styleId="Style_19" w:type="paragraph">
    <w:name w:val="Hyperlink"/>
    <w:basedOn w:val="Style_13"/>
    <w:link w:val="Style_19_ch"/>
    <w:rPr>
      <w:color w:val="0000FF"/>
      <w:u w:val="single"/>
    </w:rPr>
  </w:style>
  <w:style w:styleId="Style_19_ch" w:type="character">
    <w:name w:val="Hyperlink"/>
    <w:basedOn w:val="Style_13_ch"/>
    <w:link w:val="Style_19"/>
    <w:rPr>
      <w:color w:val="0000FF"/>
      <w:u w:val="single"/>
    </w:rPr>
  </w:style>
  <w:style w:styleId="Style_20" w:type="paragraph">
    <w:name w:val="Footnote"/>
    <w:link w:val="Style_20_ch"/>
    <w:pPr>
      <w:ind w:firstLine="851" w:left="0"/>
      <w:jc w:val="both"/>
    </w:pPr>
    <w:rPr>
      <w:rFonts w:ascii="XO Thames" w:hAnsi="XO Thames"/>
      <w:sz w:val="22"/>
    </w:rPr>
  </w:style>
  <w:style w:styleId="Style_20_ch" w:type="character">
    <w:name w:val="Footnote"/>
    <w:link w:val="Style_20"/>
    <w:rPr>
      <w:rFonts w:ascii="XO Thames" w:hAnsi="XO Thames"/>
      <w:sz w:val="22"/>
    </w:rPr>
  </w:style>
  <w:style w:styleId="Style_21" w:type="paragraph">
    <w:name w:val="toc 1"/>
    <w:basedOn w:val="Style_2"/>
    <w:next w:val="Style_2"/>
    <w:link w:val="Style_21_ch"/>
    <w:uiPriority w:val="39"/>
    <w:pPr>
      <w:spacing w:after="100"/>
      <w:ind/>
    </w:pPr>
  </w:style>
  <w:style w:styleId="Style_21_ch" w:type="character">
    <w:name w:val="toc 1"/>
    <w:basedOn w:val="Style_2_ch"/>
    <w:link w:val="Style_21"/>
  </w:style>
  <w:style w:styleId="Style_22" w:type="paragraph">
    <w:name w:val="header"/>
    <w:basedOn w:val="Style_2"/>
    <w:link w:val="Style_22_ch"/>
    <w:pPr>
      <w:tabs>
        <w:tab w:leader="none" w:pos="4677" w:val="center"/>
        <w:tab w:leader="none" w:pos="9355" w:val="right"/>
      </w:tabs>
      <w:spacing w:after="0" w:line="240" w:lineRule="auto"/>
      <w:ind/>
    </w:pPr>
  </w:style>
  <w:style w:styleId="Style_22_ch" w:type="character">
    <w:name w:val="header"/>
    <w:basedOn w:val="Style_2_ch"/>
    <w:link w:val="Style_22"/>
  </w:style>
  <w:style w:styleId="Style_5" w:type="paragraph">
    <w:name w:val="List Paragraph"/>
    <w:basedOn w:val="Style_2"/>
    <w:link w:val="Style_5_ch"/>
    <w:pPr>
      <w:ind w:firstLine="0" w:left="720"/>
      <w:contextualSpacing w:val="1"/>
    </w:pPr>
  </w:style>
  <w:style w:styleId="Style_5_ch" w:type="character">
    <w:name w:val="List Paragraph"/>
    <w:basedOn w:val="Style_2_ch"/>
    <w:link w:val="Style_5"/>
  </w:style>
  <w:style w:styleId="Style_23" w:type="paragraph">
    <w:name w:val="Header and Footer"/>
    <w:link w:val="Style_23_ch"/>
    <w:pPr>
      <w:spacing w:line="240" w:lineRule="auto"/>
      <w:ind/>
      <w:jc w:val="both"/>
    </w:pPr>
    <w:rPr>
      <w:rFonts w:ascii="XO Thames" w:hAnsi="XO Thames"/>
      <w:sz w:val="28"/>
    </w:rPr>
  </w:style>
  <w:style w:styleId="Style_23_ch" w:type="character">
    <w:name w:val="Header and Footer"/>
    <w:link w:val="Style_23"/>
    <w:rPr>
      <w:rFonts w:ascii="XO Thames" w:hAnsi="XO Thames"/>
      <w:sz w:val="28"/>
    </w:rPr>
  </w:style>
  <w:style w:styleId="Style_1" w:type="paragraph">
    <w:name w:val="footer"/>
    <w:basedOn w:val="Style_2"/>
    <w:link w:val="Style_1_ch"/>
    <w:pPr>
      <w:tabs>
        <w:tab w:leader="none" w:pos="4677" w:val="center"/>
        <w:tab w:leader="none" w:pos="9355" w:val="right"/>
      </w:tabs>
      <w:spacing w:after="0" w:line="240" w:lineRule="auto"/>
      <w:ind/>
    </w:pPr>
  </w:style>
  <w:style w:styleId="Style_1_ch" w:type="character">
    <w:name w:val="footer"/>
    <w:basedOn w:val="Style_2_ch"/>
    <w:link w:val="Style_1"/>
  </w:style>
  <w:style w:styleId="Style_24" w:type="paragraph">
    <w:name w:val="toc 9"/>
    <w:next w:val="Style_2"/>
    <w:link w:val="Style_24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4_ch" w:type="character">
    <w:name w:val="toc 9"/>
    <w:link w:val="Style_24"/>
    <w:rPr>
      <w:rFonts w:ascii="XO Thames" w:hAnsi="XO Thames"/>
      <w:sz w:val="28"/>
    </w:rPr>
  </w:style>
  <w:style w:styleId="Style_25" w:type="paragraph">
    <w:name w:val="TOC Heading"/>
    <w:basedOn w:val="Style_3"/>
    <w:next w:val="Style_2"/>
    <w:link w:val="Style_25_ch"/>
    <w:pPr>
      <w:spacing w:before="480" w:line="276" w:lineRule="auto"/>
      <w:ind/>
      <w:outlineLvl w:val="8"/>
    </w:pPr>
    <w:rPr>
      <w:b w:val="1"/>
      <w:sz w:val="28"/>
    </w:rPr>
  </w:style>
  <w:style w:styleId="Style_25_ch" w:type="character">
    <w:name w:val="TOC Heading"/>
    <w:basedOn w:val="Style_3_ch"/>
    <w:link w:val="Style_25"/>
    <w:rPr>
      <w:b w:val="1"/>
      <w:sz w:val="28"/>
    </w:rPr>
  </w:style>
  <w:style w:styleId="Style_26" w:type="paragraph">
    <w:name w:val="toc 8"/>
    <w:next w:val="Style_2"/>
    <w:link w:val="Style_2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6_ch" w:type="character">
    <w:name w:val="toc 8"/>
    <w:link w:val="Style_26"/>
    <w:rPr>
      <w:rFonts w:ascii="XO Thames" w:hAnsi="XO Thames"/>
      <w:sz w:val="28"/>
    </w:rPr>
  </w:style>
  <w:style w:styleId="Style_27" w:type="paragraph">
    <w:name w:val="toc 5"/>
    <w:next w:val="Style_2"/>
    <w:link w:val="Style_2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7_ch" w:type="character">
    <w:name w:val="toc 5"/>
    <w:link w:val="Style_27"/>
    <w:rPr>
      <w:rFonts w:ascii="XO Thames" w:hAnsi="XO Thames"/>
      <w:sz w:val="28"/>
    </w:rPr>
  </w:style>
  <w:style w:styleId="Style_28" w:type="paragraph">
    <w:name w:val="Subtitle"/>
    <w:next w:val="Style_2"/>
    <w:link w:val="Style_2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28_ch" w:type="character">
    <w:name w:val="Subtitle"/>
    <w:link w:val="Style_28"/>
    <w:rPr>
      <w:rFonts w:ascii="XO Thames" w:hAnsi="XO Thames"/>
      <w:i w:val="1"/>
      <w:sz w:val="24"/>
    </w:rPr>
  </w:style>
  <w:style w:styleId="Style_29" w:type="paragraph">
    <w:name w:val="Обычный1"/>
    <w:link w:val="Style_29_ch"/>
    <w:pPr>
      <w:widowControl w:val="0"/>
      <w:spacing w:after="0" w:line="240" w:lineRule="auto"/>
      <w:ind/>
    </w:pPr>
    <w:rPr>
      <w:rFonts w:ascii="Times New Roman" w:hAnsi="Times New Roman"/>
      <w:sz w:val="20"/>
    </w:rPr>
  </w:style>
  <w:style w:styleId="Style_29_ch" w:type="character">
    <w:name w:val="Обычный1"/>
    <w:link w:val="Style_29"/>
    <w:rPr>
      <w:rFonts w:ascii="Times New Roman" w:hAnsi="Times New Roman"/>
      <w:sz w:val="20"/>
    </w:rPr>
  </w:style>
  <w:style w:styleId="Style_30" w:type="paragraph">
    <w:name w:val="Title"/>
    <w:basedOn w:val="Style_2"/>
    <w:link w:val="Style_30_ch"/>
    <w:uiPriority w:val="10"/>
    <w:qFormat/>
    <w:pPr>
      <w:spacing w:after="0" w:line="240" w:lineRule="auto"/>
      <w:ind/>
      <w:jc w:val="center"/>
    </w:pPr>
    <w:rPr>
      <w:rFonts w:ascii="Times New Roman" w:hAnsi="Times New Roman"/>
      <w:i w:val="1"/>
      <w:sz w:val="26"/>
    </w:rPr>
  </w:style>
  <w:style w:styleId="Style_30_ch" w:type="character">
    <w:name w:val="Title"/>
    <w:basedOn w:val="Style_2_ch"/>
    <w:link w:val="Style_30"/>
    <w:rPr>
      <w:rFonts w:ascii="Times New Roman" w:hAnsi="Times New Roman"/>
      <w:i w:val="1"/>
      <w:sz w:val="26"/>
    </w:rPr>
  </w:style>
  <w:style w:styleId="Style_31" w:type="paragraph">
    <w:name w:val="heading 4"/>
    <w:next w:val="Style_2"/>
    <w:link w:val="Style_31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31_ch" w:type="character">
    <w:name w:val="heading 4"/>
    <w:link w:val="Style_31"/>
    <w:rPr>
      <w:rFonts w:ascii="XO Thames" w:hAnsi="XO Thames"/>
      <w:b w:val="1"/>
      <w:sz w:val="24"/>
    </w:rPr>
  </w:style>
  <w:style w:styleId="Style_32" w:type="paragraph">
    <w:name w:val="heading 2"/>
    <w:basedOn w:val="Style_2"/>
    <w:next w:val="Style_2"/>
    <w:link w:val="Style_32_ch"/>
    <w:uiPriority w:val="9"/>
    <w:qFormat/>
    <w:pPr>
      <w:keepNext w:val="1"/>
      <w:keepLines w:val="1"/>
      <w:spacing w:after="0" w:before="40"/>
      <w:ind/>
      <w:outlineLvl w:val="1"/>
    </w:pPr>
    <w:rPr>
      <w:rFonts w:asciiTheme="majorAscii" w:hAnsiTheme="majorHAnsi"/>
      <w:color w:themeColor="accent1" w:themeShade="BF" w:val="2E75B5"/>
      <w:sz w:val="26"/>
    </w:rPr>
  </w:style>
  <w:style w:styleId="Style_32_ch" w:type="character">
    <w:name w:val="heading 2"/>
    <w:basedOn w:val="Style_2_ch"/>
    <w:link w:val="Style_32"/>
    <w:rPr>
      <w:rFonts w:asciiTheme="majorAscii" w:hAnsiTheme="majorHAnsi"/>
      <w:color w:themeColor="accent1" w:themeShade="BF" w:val="2E75B5"/>
      <w:sz w:val="26"/>
    </w:rPr>
  </w:style>
  <w:style w:styleId="Style_33" w:type="paragraph">
    <w:name w:val="link"/>
    <w:link w:val="Style_33_ch"/>
  </w:style>
  <w:style w:styleId="Style_33_ch" w:type="character">
    <w:name w:val="link"/>
    <w:link w:val="Style_33"/>
  </w:style>
  <w:style w:default="1" w:styleId="Style_34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4" w:type="table">
    <w:name w:val="Table Grid"/>
    <w:basedOn w:val="Style_34"/>
    <w:pPr>
      <w:spacing w:after="0" w:line="240" w:lineRule="auto"/>
      <w:ind/>
    </w:pPr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17" Target="stylesWithEffects.xml" Type="http://schemas.microsoft.com/office/2007/relationships/stylesWithEffects"/>
  <Relationship Id="rId7" Target="media/3.jpeg" Type="http://schemas.openxmlformats.org/officeDocument/2006/relationships/image"/>
  <Relationship Id="rId6" Target="media/2.png" Type="http://schemas.openxmlformats.org/officeDocument/2006/relationships/image"/>
  <Relationship Id="rId14" Target="fontTable.xml" Type="http://schemas.openxmlformats.org/officeDocument/2006/relationships/fontTable"/>
  <Relationship Id="rId13" Target="media/9.png" Type="http://schemas.openxmlformats.org/officeDocument/2006/relationships/image"/>
  <Relationship Id="rId18" Target="webSettings.xml" Type="http://schemas.openxmlformats.org/officeDocument/2006/relationships/webSettings"/>
  <Relationship Id="rId4" Target="footer4.xml" Type="http://schemas.openxmlformats.org/officeDocument/2006/relationships/footer"/>
  <Relationship Id="rId3" Target="footer3.xml" Type="http://schemas.openxmlformats.org/officeDocument/2006/relationships/footer"/>
  <Relationship Id="rId12" Target="media/8.png" Type="http://schemas.openxmlformats.org/officeDocument/2006/relationships/image"/>
  <Relationship Id="rId10" Target="media/6.jpeg" Type="http://schemas.openxmlformats.org/officeDocument/2006/relationships/image"/>
  <Relationship Id="rId19" Target="theme/theme1.xml" Type="http://schemas.openxmlformats.org/officeDocument/2006/relationships/theme"/>
  <Relationship Id="rId5" Target="media/1.png" Type="http://schemas.openxmlformats.org/officeDocument/2006/relationships/image"/>
  <Relationship Id="rId11" Target="media/7.jpeg" Type="http://schemas.openxmlformats.org/officeDocument/2006/relationships/image"/>
  <Relationship Id="rId8" Target="media/4.jpeg" Type="http://schemas.openxmlformats.org/officeDocument/2006/relationships/image"/>
  <Relationship Id="rId16" Target="styles.xml" Type="http://schemas.openxmlformats.org/officeDocument/2006/relationships/styles"/>
  <Relationship Id="rId20" Target="numbering.xml" Type="http://schemas.openxmlformats.org/officeDocument/2006/relationships/numbering"/>
  <Relationship Id="rId2" Target="footer2.xml" Type="http://schemas.openxmlformats.org/officeDocument/2006/relationships/footer"/>
  <Relationship Id="rId9" Target="media/5.jpeg" Type="http://schemas.openxmlformats.org/officeDocument/2006/relationships/image"/>
  <Relationship Id="rId15" Target="settings.xml" Type="http://schemas.openxmlformats.org/officeDocument/2006/relationships/settings"/>
  <Relationship Id="rId1" Target="footer1.xml" Type="http://schemas.openxmlformats.org/officeDocument/2006/relationships/footer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MyOffice-CoreFramework-macOS/31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2026-10-16T12:49:06Z</dcterms:modified>
</cp:coreProperties>
</file>