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E234B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48"/>
        </w:rPr>
        <w:t xml:space="preserve">Diseño de la Base de Datos (tienda_libros)</w:t>
      </w:r>
      <w:r/>
    </w:p>
    <w:p w14:paraId="0114913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1. Ficha Técnica General</w:t>
      </w:r>
      <w:r/>
    </w:p>
    <w:p w14:paraId="025422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Nombre de la Base de Datos:</w:t>
      </w:r>
      <w:r>
        <w:rPr>
          <w:rFonts w:ascii="Arial" w:hAnsi="Arial" w:eastAsia="Arial" w:cs="Arial"/>
          <w:color w:val="000000"/>
          <w:sz w:val="24"/>
        </w:rPr>
        <w:t xml:space="preserve"> tienda_libros</w:t>
      </w:r>
      <w:r/>
    </w:p>
    <w:p w14:paraId="0EE34C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Motor de Almacenamiento:</w:t>
      </w:r>
      <w:r>
        <w:rPr>
          <w:rFonts w:ascii="Arial" w:hAnsi="Arial" w:eastAsia="Arial" w:cs="Arial"/>
          <w:color w:val="000000"/>
          <w:sz w:val="24"/>
        </w:rPr>
        <w:t xml:space="preserve"> MySQL </w:t>
      </w:r>
      <w:r>
        <w:rPr>
          <w:rFonts w:ascii="Arial" w:hAnsi="Arial" w:eastAsia="Arial" w:cs="Arial"/>
          <w:b/>
          <w:color w:val="000000"/>
          <w:sz w:val="24"/>
        </w:rPr>
        <w:t xml:space="preserve">InnoDB</w:t>
      </w:r>
      <w:r>
        <w:rPr>
          <w:rFonts w:ascii="Arial" w:hAnsi="Arial" w:eastAsia="Arial" w:cs="Arial"/>
          <w:color w:val="000000"/>
          <w:sz w:val="24"/>
        </w:rPr>
        <w:t xml:space="preserve"> (Garantiza integridad referencial y soporte completo para transacciones ACID). </w:t>
      </w:r>
      <w:r/>
    </w:p>
    <w:p w14:paraId="1D9DEE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Cotejamiento (Collation):</w:t>
      </w:r>
      <w:r>
        <w:rPr>
          <w:rFonts w:ascii="Arial" w:hAnsi="Arial" w:eastAsia="Arial" w:cs="Arial"/>
          <w:color w:val="000000"/>
          <w:sz w:val="24"/>
        </w:rPr>
        <w:t xml:space="preserve"> utf8mb4_unicode_ci (Soporte completo para caracteres multilenguaje y símbolos). </w:t>
      </w:r>
      <w:r/>
    </w:p>
    <w:p w14:paraId="1674F5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Número Total de Tablas:</w:t>
      </w:r>
      <w:r>
        <w:rPr>
          <w:rFonts w:ascii="Arial" w:hAnsi="Arial" w:eastAsia="Arial" w:cs="Arial"/>
          <w:color w:val="000000"/>
          <w:sz w:val="24"/>
        </w:rPr>
        <w:t xml:space="preserve"> 10 tablas relacionales. </w:t>
      </w:r>
      <w:r/>
    </w:p>
    <w:p w14:paraId="799F4FE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2. Arquitectura de Datos y Módulos</w:t>
      </w:r>
      <w:r/>
    </w:p>
    <w:p w14:paraId="783BE2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La base de datos se encuentra estructurada en </w:t>
      </w:r>
      <w:r>
        <w:rPr>
          <w:rFonts w:ascii="Arial" w:hAnsi="Arial" w:eastAsia="Arial" w:cs="Arial"/>
          <w:b/>
          <w:color w:val="000000"/>
          <w:sz w:val="24"/>
        </w:rPr>
        <w:t xml:space="preserve">4 módulos funcionales interconectados</w:t>
      </w:r>
      <w:r>
        <w:rPr>
          <w:rFonts w:ascii="Arial" w:hAnsi="Arial" w:eastAsia="Arial" w:cs="Arial"/>
          <w:color w:val="000000"/>
          <w:sz w:val="24"/>
        </w:rPr>
        <w:t xml:space="preserve">:</w:t>
      </w:r>
      <w:r/>
    </w:p>
    <w:p w14:paraId="45FBEE8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Módulo de Seguridad y Accesos:</w:t>
      </w:r>
      <w:r/>
    </w:p>
    <w:p w14:paraId="3B8DD537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roles</w:t>
      </w:r>
      <w:r>
        <w:rPr>
          <w:rFonts w:ascii="Arial" w:hAnsi="Arial" w:eastAsia="Arial" w:cs="Arial"/>
          <w:color w:val="000000"/>
          <w:sz w:val="24"/>
        </w:rPr>
        <w:t xml:space="preserve">: Define los niveles de permisos del sistema (Administrador, Vendedor). </w:t>
      </w:r>
      <w:r/>
    </w:p>
    <w:p w14:paraId="72A0848D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usuarios</w:t>
      </w:r>
      <w:r>
        <w:rPr>
          <w:rFonts w:ascii="Arial" w:hAnsi="Arial" w:eastAsia="Arial" w:cs="Arial"/>
          <w:color w:val="000000"/>
          <w:sz w:val="24"/>
        </w:rPr>
        <w:t xml:space="preserve">: Gestiona las credenciales de acceso vinculadas a un rol, con contraseñas encriptadas mediante el algoritmo </w:t>
      </w:r>
      <w:r>
        <w:rPr>
          <w:rFonts w:ascii="Arial" w:hAnsi="Arial" w:eastAsia="Arial" w:cs="Arial"/>
          <w:b/>
          <w:color w:val="000000"/>
          <w:sz w:val="24"/>
        </w:rPr>
        <w:t xml:space="preserve">BCRYPT</w:t>
      </w:r>
      <w:r>
        <w:rPr>
          <w:rFonts w:ascii="Arial" w:hAnsi="Arial" w:eastAsia="Arial" w:cs="Arial"/>
          <w:color w:val="000000"/>
          <w:sz w:val="24"/>
        </w:rPr>
        <w:t xml:space="preserve"> y control de estado lógico (estado = 1/0). </w:t>
      </w:r>
      <w:r/>
    </w:p>
    <w:p w14:paraId="327F619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Módulo de Catálogo e Inventario:</w:t>
      </w:r>
      <w:r/>
    </w:p>
    <w:p w14:paraId="7674A56D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categorias</w:t>
      </w:r>
      <w:r>
        <w:rPr>
          <w:rFonts w:ascii="Arial" w:hAnsi="Arial" w:eastAsia="Arial" w:cs="Arial"/>
          <w:color w:val="000000"/>
          <w:sz w:val="24"/>
        </w:rPr>
        <w:t xml:space="preserve">: Organiza las obras bibliográficas según su género o temática. </w:t>
      </w:r>
      <w:r/>
    </w:p>
    <w:p w14:paraId="100DE5E2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libros</w:t>
      </w:r>
      <w:r>
        <w:rPr>
          <w:rFonts w:ascii="Arial" w:hAnsi="Arial" w:eastAsia="Arial" w:cs="Arial"/>
          <w:color w:val="000000"/>
          <w:sz w:val="24"/>
        </w:rPr>
        <w:t xml:space="preserve">: Almacena la información de los productos (ISBN único, título, autor, precios de compra/venta, carátula e indicador de destacado) y mantiene el </w:t>
      </w:r>
      <w:r>
        <w:rPr>
          <w:rFonts w:ascii="Arial" w:hAnsi="Arial" w:eastAsia="Arial" w:cs="Arial"/>
          <w:b/>
          <w:color w:val="000000"/>
          <w:sz w:val="24"/>
        </w:rPr>
        <w:t xml:space="preserve">stock dinámico</w:t>
      </w:r>
      <w:r>
        <w:rPr>
          <w:rFonts w:ascii="Arial" w:hAnsi="Arial" w:eastAsia="Arial" w:cs="Arial"/>
          <w:color w:val="000000"/>
          <w:sz w:val="24"/>
        </w:rPr>
        <w:t xml:space="preserve"> de almacén. </w:t>
      </w:r>
      <w:r/>
    </w:p>
    <w:p w14:paraId="7668C1E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Módulo de Entradas (Compras a Proveedores):</w:t>
      </w:r>
      <w:r/>
    </w:p>
    <w:p w14:paraId="43E0534B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proveedores</w:t>
      </w:r>
      <w:r>
        <w:rPr>
          <w:rFonts w:ascii="Arial" w:hAnsi="Arial" w:eastAsia="Arial" w:cs="Arial"/>
          <w:color w:val="000000"/>
          <w:sz w:val="24"/>
        </w:rPr>
        <w:t xml:space="preserve">: Registro maestro de empresas y distribuidoras (NIT/RUT, Razón Social, Contacto). </w:t>
      </w:r>
      <w:r/>
    </w:p>
    <w:p w14:paraId="0ADEF6DA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compras</w:t>
      </w:r>
      <w:r>
        <w:rPr>
          <w:rFonts w:ascii="Arial" w:hAnsi="Arial" w:eastAsia="Arial" w:cs="Arial"/>
          <w:color w:val="000000"/>
          <w:sz w:val="24"/>
        </w:rPr>
        <w:t xml:space="preserve">: Cabecera de facturas de abastecimiento registradas por un administrador. </w:t>
      </w:r>
      <w:r/>
    </w:p>
    <w:p w14:paraId="6AD6C588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detalle_compras</w:t>
      </w:r>
      <w:r>
        <w:rPr>
          <w:rFonts w:ascii="Arial" w:hAnsi="Arial" w:eastAsia="Arial" w:cs="Arial"/>
          <w:color w:val="000000"/>
          <w:sz w:val="24"/>
        </w:rPr>
        <w:t xml:space="preserve">: Desglose de ítems adquiridos; incrementa automáticamente el stock disponible en la tabla libros. </w:t>
      </w:r>
      <w:r/>
    </w:p>
    <w:p w14:paraId="3A5ABAB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Módulo de Salidas (Ventas a Clientes):</w:t>
      </w:r>
      <w:r/>
    </w:p>
    <w:p w14:paraId="36B60FCC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clientes</w:t>
      </w:r>
      <w:r>
        <w:rPr>
          <w:rFonts w:ascii="Arial" w:hAnsi="Arial" w:eastAsia="Arial" w:cs="Arial"/>
          <w:color w:val="000000"/>
          <w:sz w:val="24"/>
        </w:rPr>
        <w:t xml:space="preserve">: Directorio de compradores (documento, nombre, teléfono, dirección). </w:t>
      </w:r>
      <w:r/>
    </w:p>
    <w:p w14:paraId="17D46000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ventas</w:t>
      </w:r>
      <w:r>
        <w:rPr>
          <w:rFonts w:ascii="Arial" w:hAnsi="Arial" w:eastAsia="Arial" w:cs="Arial"/>
          <w:color w:val="000000"/>
          <w:sz w:val="24"/>
        </w:rPr>
        <w:t xml:space="preserve">: Cabecera de facturas o comprobantes de venta emitidos por los vendedores. </w:t>
      </w:r>
      <w:r/>
    </w:p>
    <w:p w14:paraId="514FF2CF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detalle_ventas</w:t>
      </w:r>
      <w:r>
        <w:rPr>
          <w:rFonts w:ascii="Arial" w:hAnsi="Arial" w:eastAsia="Arial" w:cs="Arial"/>
          <w:color w:val="000000"/>
          <w:sz w:val="24"/>
        </w:rPr>
        <w:t xml:space="preserve">: Registro de libros comercializados; procesa el descuento transaccional del stock en la tabla libros. 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8CB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5F5DEB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FB1C2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76F71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47787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16693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2026-09-30T19:50:44Z</dcterms:modified>
</cp:coreProperties>
</file>