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5ksh82nsgp3" w:id="0"/>
      <w:bookmarkEnd w:id="0"/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Campaign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mbjsiz6n6jlo" w:id="1"/>
      <w:bookmarkEnd w:id="1"/>
      <w:r w:rsidDel="00000000" w:rsidR="00000000" w:rsidRPr="00000000">
        <w:rPr>
          <w:b w:val="1"/>
          <w:bCs w:val="1"/>
          <w:rtl w:val="0"/>
        </w:rPr>
        <w:t xml:space="preserve">Christmas Retail Holiday Campaign Analytics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rtl w:val="0"/>
        </w:rPr>
        <w:t xml:space="preserve">Reporting Period: November2025 - December 2025</w:t>
        <w:br w:type="textWrapping"/>
        <w:t xml:space="preserve">Prepared By :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Yamin Wasi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rtl w:val="0"/>
        </w:rPr>
        <w:t xml:space="preserve">Subject:</w:t>
      </w:r>
      <w:r w:rsidDel="00000000" w:rsidR="00000000" w:rsidRPr="00000000">
        <w:rPr>
          <w:rFonts w:ascii="Lexend" w:cs="Lexend" w:eastAsia="Lexend" w:hAnsi="Lexend"/>
          <w:sz w:val="22"/>
          <w:szCs w:val="22"/>
          <w:rtl w:val="0"/>
        </w:rPr>
        <w:t xml:space="preserve">Performance Review Of Holiday Campaign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120" w:lineRule="auto"/>
        <w:rPr>
          <w:b w:val="0"/>
          <w:bCs w:val="0"/>
          <w:sz w:val="22"/>
          <w:szCs w:val="22"/>
        </w:rPr>
      </w:pPr>
      <w:bookmarkStart w:colFirst="0" w:colLast="0" w:name="_vydniszftb1n" w:id="2"/>
      <w:bookmarkEnd w:id="2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4843463" cy="2895600"/>
            <wp:effectExtent b="25400" l="25400" r="25400" t="254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2558" l="6540" r="6540" t="3178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89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3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arolcxe0i15c" w:id="3"/>
      <w:bookmarkEnd w:id="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Executive Summary</w:t>
        <w:br w:type="textWrapping"/>
        <w:t xml:space="preserve">These Dashboards provide a comprehensive analysis of the Retail Performance</w:t>
      </w:r>
      <w:r w:rsidDel="00000000" w:rsidR="00000000" w:rsidRPr="00000000">
        <w:rPr>
          <w:rFonts w:ascii="Arial" w:cs="Arial" w:eastAsia="Arial" w:hAnsi="Arial"/>
          <w:b w:val="0"/>
          <w:bCs w:val="0"/>
          <w:color w:val="e2e2e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5"/>
          <w:szCs w:val="25"/>
          <w:rtl w:val="0"/>
        </w:rPr>
        <w:t xml:space="preserve">During the 2025 holiday season (November and December).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Overall, the Holiday campaign successfully generated significant revenue with a healthy profit margin. Key highlights include a total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revenue of 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18.49M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5"/>
          <w:szCs w:val="25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Profit $4.16M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Budget ROI of 24.47%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against 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$17M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budget Which is a Great Indication.</w:t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Key Performance Indicator (KPIs) For Holiday Campaign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$4.16M Profit on Holiday Campaign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25.52% Profit Margin on Holiday Campaign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ROI is 24.47% against $17M Budget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Revenue $18 Million On Holiday Campaign</w:t>
        <w:br w:type="textWrapping"/>
        <w:br w:type="textWrapping"/>
        <w:t xml:space="preserve">November &amp; December Profit Margin Analysis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09825" cy="2071688"/>
            <wp:effectExtent b="25400" l="25400" r="25400" t="25400"/>
            <wp:docPr descr="Profit by Week Of Month" id="10" name="image5.png"/>
            <a:graphic>
              <a:graphicData uri="http://schemas.openxmlformats.org/drawingml/2006/picture">
                <pic:pic>
                  <pic:nvPicPr>
                    <pic:cNvPr descr="Profit by Week Of Month" id="0" name="image5.png"/>
                    <pic:cNvPicPr preferRelativeResize="0"/>
                  </pic:nvPicPr>
                  <pic:blipFill>
                    <a:blip r:embed="rId8"/>
                    <a:srcRect b="0" l="0" r="0" t="-268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716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62225" cy="2081213"/>
            <wp:effectExtent b="25400" l="25400" r="25400" t="25400"/>
            <wp:docPr descr="Profit by Week Of Month" id="1" name="image15.png"/>
            <a:graphic>
              <a:graphicData uri="http://schemas.openxmlformats.org/drawingml/2006/picture">
                <pic:pic>
                  <pic:nvPicPr>
                    <pic:cNvPr descr="Profit by Week Of Month"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812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November Performance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Peak: Profit peaked during Week 4 (Nov 22–28) at 21.8%, driven by the Holiday Campaign.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Stability: Weeks 1, 2, and 3 maintained a consistent margin of 6%–7%.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Month-End: Week 5 (Nov 29–30) saw a significant dip to approximately 2%.</w:t>
      </w:r>
    </w:p>
    <w:p w:rsidR="00000000" w:rsidDel="00000000" w:rsidP="00000000" w:rsidRDefault="00000000" w:rsidRPr="00000000" w14:paraId="0000000E">
      <w:pPr>
        <w:pStyle w:val="Heading3"/>
        <w:spacing w:after="80"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v1gfl7dbsvch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December Performance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Peak: Week 1 was the most profitable at 16%.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Volatility: Profits dropped to 7.08% in Week 2, but showed a strong recovery through the end of the month.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Recovery: Weeks 3 and 4 trended upward, finishing between 11% and 12.89% (approx. 13%).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70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t xml:space="preserve">Campaign Peak: The Holiday Campaign drove a month-high 21.8% margin in late November, proving the offer strategy was highly effective.</w:t>
            </w:r>
          </w:p>
          <w:p w:rsidR="00000000" w:rsidDel="00000000" w:rsidP="00000000" w:rsidRDefault="00000000" w:rsidRPr="00000000" w14:paraId="00000014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Early November Stability: Weeks 1–3 of November showed consistent "baseline" profitability at 6%–7%, indicating steady organic demand.</w:t>
            </w:r>
          </w:p>
          <w:p w:rsidR="00000000" w:rsidDel="00000000" w:rsidP="00000000" w:rsidRDefault="00000000" w:rsidRPr="00000000" w14:paraId="00000015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Post-Campaign Fatigue: The sharp drop to 2% on Nov 29–30 suggests a "cooling-off" period immediately following the peak campaign intensity.</w:t>
            </w:r>
          </w:p>
          <w:p w:rsidR="00000000" w:rsidDel="00000000" w:rsidP="00000000" w:rsidRDefault="00000000" w:rsidRPr="00000000" w14:paraId="00000016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December Momentum: December opened strong at 16%, likely capturing "Cyber Monday" spillover and early-month gifting intent.</w:t>
            </w:r>
          </w:p>
          <w:p w:rsidR="00000000" w:rsidDel="00000000" w:rsidP="00000000" w:rsidRDefault="00000000" w:rsidRPr="00000000" w14:paraId="00000017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 Week 2 "Dead Zone": Profitability plummeted to 7.08% in mid-December, marking the largest performance gap in the two-month period.</w:t>
            </w:r>
          </w:p>
          <w:p w:rsidR="00000000" w:rsidDel="00000000" w:rsidP="00000000" w:rsidRDefault="00000000" w:rsidRPr="00000000" w14:paraId="00000018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Urgency-Driven Recovery: Margins trended upward in late December (rising to ~13%) as shipping deadlines created customer urgency.</w:t>
            </w:r>
          </w:p>
          <w:p w:rsidR="00000000" w:rsidDel="00000000" w:rsidP="00000000" w:rsidRDefault="00000000" w:rsidRPr="00000000" w14:paraId="00000019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Margin Resilience: Despite the mid-month dip, December’s second half showed better price integrity than the early-November baseline.</w:t>
            </w:r>
          </w:p>
          <w:p w:rsidR="00000000" w:rsidDel="00000000" w:rsidP="00000000" w:rsidRDefault="00000000" w:rsidRPr="00000000" w14:paraId="0000001A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Volatility Drivers: The fluctuation between 2% and 21% highlights that profitability is currently highly dependent on specific campaign dates.</w:t>
            </w:r>
          </w:p>
          <w:p w:rsidR="00000000" w:rsidDel="00000000" w:rsidP="00000000" w:rsidRDefault="00000000" w:rsidRPr="00000000" w14:paraId="0000001B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Inventory Timing: The Dec Week 1 peak suggests inventory was well-positioned to meet the initial December surge.</w:t>
            </w:r>
          </w:p>
          <w:p w:rsidR="00000000" w:rsidDel="00000000" w:rsidP="00000000" w:rsidRDefault="00000000" w:rsidRPr="00000000" w14:paraId="0000001C">
            <w:p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Profit Optimization: The recovery in Dec Weeks 3–4 suggests that late-season shoppers were less price-sensitive, allowing for higher margins.</w:t>
            </w:r>
          </w:p>
          <w:p w:rsidR="00000000" w:rsidDel="00000000" w:rsidP="00000000" w:rsidRDefault="00000000" w:rsidRPr="00000000" w14:paraId="0000001D">
            <w:pPr>
              <w:ind w:left="720" w:hanging="360"/>
              <w:rPr>
                <w:b w:val="1"/>
                <w:bCs w:val="1"/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ind w:left="720" w:hanging="360"/>
              <w:rPr>
                <w:b w:val="1"/>
                <w:bCs w:val="1"/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rHeight w:val="8705" w:hRule="atLeast"/>
          <w:tblHeader w:val="1"/>
        </w:trPr>
        <w:tc>
          <w:tcPr/>
          <w:p w:rsidR="00000000" w:rsidDel="00000000" w:rsidP="00000000" w:rsidRDefault="00000000" w:rsidRPr="00000000" w14:paraId="00000020">
            <w:pPr>
              <w:spacing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738563" cy="2228850"/>
                  <wp:effectExtent b="25400" l="25400" r="25400" t="25400"/>
                  <wp:docPr descr="Budget ROI by Targeted Segment" id="3" name="image6.png"/>
                  <a:graphic>
                    <a:graphicData uri="http://schemas.openxmlformats.org/drawingml/2006/picture">
                      <pic:pic>
                        <pic:nvPicPr>
                          <pic:cNvPr descr="Budget ROI by Targeted Segment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563" cy="222885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Budget ROI VS Profitability Analysis By Targeted Segment</w:t>
              <w:br w:type="textWrapping"/>
              <w:t xml:space="preserve">(Holiday Campaign)</w:t>
              <w:br w:type="textWrapping"/>
              <w:br w:type="textWrapping"/>
              <w:t xml:space="preserve">The Top Performer (Loyalty):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This segment sits in the Top-Right of  chart. It has both the highest ROI (36.7%) and the highest Profit Margin (30.2%).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Insight: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This is the most efficient and profitable group; continue prioritizing the budget here.</w:t>
            </w:r>
          </w:p>
          <w:p w:rsidR="00000000" w:rsidDel="00000000" w:rsidP="00000000" w:rsidRDefault="00000000" w:rsidRPr="00000000" w14:paraId="00000021">
            <w:pPr>
              <w:spacing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 Steady Middle (Returning Customers)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Sits in the Center. With an ROI of 27.6% and Margin of 25.9%, it is a reliable performer that outperforms the "All" average.</w:t>
            </w:r>
          </w:p>
          <w:p w:rsidR="00000000" w:rsidDel="00000000" w:rsidP="00000000" w:rsidRDefault="00000000" w:rsidRPr="00000000" w14:paraId="00000022">
            <w:pPr>
              <w:spacing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Acquisition Cost (New Customers):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Sits Lower-Left of the other specific segments (20.4% ROI / 19.1% Margin). Insight: It is normal for New Customers to have lower margins due to the higher cost of acquisition, but they are still outperforming the "All" category.</w:t>
            </w:r>
          </w:p>
          <w:p w:rsidR="00000000" w:rsidDel="00000000" w:rsidP="00000000" w:rsidRDefault="00000000" w:rsidRPr="00000000" w14:paraId="00000023">
            <w:pPr>
              <w:spacing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Baseline (All):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This is The Anchor Point at the bottom (15.3% ROI / 15.1% Margin). Use this to show that your specific targeted campaigns (Loyalty/Returning) are significantly more successful than general broad targeting.</w:t>
            </w:r>
          </w:p>
          <w:p w:rsidR="00000000" w:rsidDel="00000000" w:rsidP="00000000" w:rsidRDefault="00000000" w:rsidRPr="00000000" w14:paraId="00000024">
            <w:pPr>
              <w:spacing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05e5c"/>
                <w:sz w:val="18"/>
                <w:szCs w:val="18"/>
              </w:rPr>
              <w:drawing>
                <wp:inline distB="114300" distT="114300" distL="114300" distR="114300">
                  <wp:extent cx="4014788" cy="3067050"/>
                  <wp:effectExtent b="25400" l="25400" r="25400" t="25400"/>
                  <wp:docPr descr="Profit By Channel" id="9" name="image13.png"/>
                  <a:graphic>
                    <a:graphicData uri="http://schemas.openxmlformats.org/drawingml/2006/picture">
                      <pic:pic>
                        <pic:nvPicPr>
                          <pic:cNvPr descr="Profit By Channel"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788" cy="306705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605e5c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Profit By Channel (Holiday Campaign)</w:t>
              <w:br w:type="textWrapping"/>
              <w:br w:type="textWrapping"/>
              <w:t xml:space="preserve">High-Volume Lead (Website):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nearly 60%, the website is "Big Player." Even a small 1% increase in website margin will have a much larger impact on the bottom line than any other channel.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The Physical Touchpoint (In-Store):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contributing 1/4 of our profit, this channel supports our Loyalty and Returning Customer segments (who usually have the highest ROI).</w:t>
              <w:br w:type="textWrapping"/>
            </w:r>
          </w:p>
          <w:p w:rsidR="00000000" w:rsidDel="00000000" w:rsidP="00000000" w:rsidRDefault="00000000" w:rsidRPr="00000000" w14:paraId="00000026">
            <w:pPr>
              <w:spacing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Third-Party Presence (Marketplace):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our Marketplace ROI is 5.22%—lower than our 59% website contribution—it remains a profitable 'Discovery' channel. It allows us to capture 15% of our total profit from customers who shop exclusively on third-party platforms, without losing money on the ad spend.</w:t>
            </w:r>
          </w:p>
          <w:p w:rsidR="00000000" w:rsidDel="00000000" w:rsidP="00000000" w:rsidRDefault="00000000" w:rsidRPr="00000000" w14:paraId="00000027">
            <w:pPr>
              <w:spacing w:before="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before="0" w:lineRule="auto"/>
              <w:ind w:left="0" w:firstLine="0"/>
              <w:rPr>
                <w:b w:val="1"/>
                <w:bCs w:val="1"/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328988" cy="2228850"/>
            <wp:effectExtent b="25400" l="25400" r="25400" t="25400"/>
            <wp:wrapNone/>
            <wp:docPr descr="Budget ROI by Campaign" id="14" name="image12.png"/>
            <a:graphic>
              <a:graphicData uri="http://schemas.openxmlformats.org/drawingml/2006/picture">
                <pic:pic>
                  <pic:nvPicPr>
                    <pic:cNvPr descr="Budget ROI by Campaign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2288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906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color w:val="605e5c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Metric definition: Budget ROI = Total Profit ÷ Planned Budget → measures profit efficiency, not sales volume.</w:t>
            </w:r>
            <w:r w:rsidDel="00000000" w:rsidR="00000000" w:rsidRPr="00000000">
              <w:rPr>
                <w:color w:val="605e5c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performers:</w:t>
            </w:r>
            <w:r w:rsidDel="00000000" w:rsidR="00000000" w:rsidRPr="00000000">
              <w:rPr>
                <w:rtl w:val="0"/>
              </w:rPr>
              <w:t xml:space="preserve"> BF, CM, and Clearance all deliver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~32–34% ROI</w:t>
            </w:r>
            <w:r w:rsidDel="00000000" w:rsidR="00000000" w:rsidRPr="00000000">
              <w:rPr>
                <w:rtl w:val="0"/>
              </w:rPr>
              <w:t xml:space="preserve">, indicating strong and consistent capital efficiency.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in class:</w:t>
            </w:r>
            <w:r w:rsidDel="00000000" w:rsidR="00000000" w:rsidRPr="00000000">
              <w:rPr>
                <w:rtl w:val="0"/>
              </w:rPr>
              <w:t xml:space="preserve"> BF leads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33.63%</w:t>
            </w:r>
            <w:r w:rsidDel="00000000" w:rsidR="00000000" w:rsidRPr="00000000">
              <w:rPr>
                <w:rtl w:val="0"/>
              </w:rPr>
              <w:t xml:space="preserve">, setting the benchmark for budget effectiveness.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Clearance insight: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High ROI despite heavy discounting → inventory liquidation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profit-controlled</w:t>
            </w:r>
            <w:r w:rsidDel="00000000" w:rsidR="00000000" w:rsidRPr="00000000">
              <w:rPr>
                <w:rtl w:val="0"/>
              </w:rPr>
              <w:t xml:space="preserve">, not margin-destructive.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Underperformance flag:</w:t>
            </w:r>
            <w:r w:rsidDel="00000000" w:rsidR="00000000" w:rsidRPr="00000000">
              <w:rPr>
                <w:rtl w:val="0"/>
              </w:rPr>
              <w:t xml:space="preserve"> Holiday campaigns trail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24.47% ROI</w:t>
            </w:r>
            <w:r w:rsidDel="00000000" w:rsidR="00000000" w:rsidRPr="00000000">
              <w:rPr>
                <w:rtl w:val="0"/>
              </w:rPr>
              <w:t xml:space="preserve">, materially below the portfolio average.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issue:</w:t>
            </w:r>
            <w:r w:rsidDel="00000000" w:rsidR="00000000" w:rsidRPr="00000000">
              <w:rPr>
                <w:rtl w:val="0"/>
              </w:rPr>
              <w:t xml:space="preserve"> Holiday spend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outpacing profit return</w:t>
            </w:r>
            <w:r w:rsidDel="00000000" w:rsidR="00000000" w:rsidRPr="00000000">
              <w:rPr>
                <w:rtl w:val="0"/>
              </w:rPr>
              <w:t xml:space="preserve">, driven by higher discounts and fulfillment costs.</w:t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Strategic implication: </w:t>
            </w:r>
            <w:r w:rsidDel="00000000" w:rsidR="00000000" w:rsidRPr="00000000">
              <w:rPr>
                <w:rtl w:val="0"/>
              </w:rPr>
              <w:t xml:space="preserve">ROI—not revenue—should guide budget allocation decisions.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Actionable takeaway: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Reallocate incremental budget toward BF and CM; tightly govern Holiday spend unless profitability improves.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6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type w:val="nextPage"/>
          <w:pgSz w:h="15840" w:w="12240" w:orient="portrait"/>
          <w:pgMar w:bottom="1440" w:top="144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headerReference r:id="rId18" w:type="first"/>
          <w:footerReference r:id="rId19" w:type="default"/>
          <w:footerReference r:id="rId20" w:type="firs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j65f9m5b5p6w" w:id="5"/>
      <w:bookmarkEnd w:id="5"/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Delivery Effecensy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Delivery Efficiency Report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29225" cy="3071813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7029" l="4487" r="69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Overview (Top tiles)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OTD: 31%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materially below acceptable retail SLA.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Delivery Rate: 68.65%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majority of customers impacted.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Late Days: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delays are short but frequent, amplifying customer dissatisfaction.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Shipping Cost: $11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premium spend is not translating into performance.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 Delivery by Time (Week / Month)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delivery peaks in </w:t>
      </w:r>
      <w:r w:rsidDel="00000000" w:rsidR="00000000" w:rsidRPr="00000000">
        <w:rPr>
          <w:b w:val="1"/>
          <w:bCs w:val="1"/>
          <w:rtl w:val="0"/>
        </w:rPr>
        <w:t xml:space="preserve">January (75.8%)</w:t>
      </w:r>
      <w:r w:rsidDel="00000000" w:rsidR="00000000" w:rsidRPr="00000000">
        <w:rPr>
          <w:rtl w:val="0"/>
        </w:rPr>
        <w:t xml:space="preserve">, remains elevated in </w:t>
      </w:r>
      <w:r w:rsidDel="00000000" w:rsidR="00000000" w:rsidRPr="00000000">
        <w:rPr>
          <w:b w:val="1"/>
          <w:bCs w:val="1"/>
          <w:rtl w:val="0"/>
        </w:rPr>
        <w:t xml:space="preserve">December (70.3%)</w:t>
      </w:r>
      <w:r w:rsidDel="00000000" w:rsidR="00000000" w:rsidRPr="00000000">
        <w:rPr>
          <w:rtl w:val="0"/>
        </w:rPr>
        <w:t xml:space="preserve">, and is still high in </w:t>
      </w:r>
      <w:r w:rsidDel="00000000" w:rsidR="00000000" w:rsidRPr="00000000">
        <w:rPr>
          <w:b w:val="1"/>
          <w:bCs w:val="1"/>
          <w:rtl w:val="0"/>
        </w:rPr>
        <w:t xml:space="preserve">November (62.7%)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indicates </w:t>
      </w:r>
      <w:r w:rsidDel="00000000" w:rsidR="00000000" w:rsidRPr="00000000">
        <w:rPr>
          <w:b w:val="1"/>
          <w:bCs w:val="1"/>
          <w:rtl w:val="0"/>
        </w:rPr>
        <w:t xml:space="preserve">post-holiday spillover</w:t>
      </w:r>
      <w:r w:rsidDel="00000000" w:rsidR="00000000" w:rsidRPr="00000000">
        <w:rPr>
          <w:rtl w:val="0"/>
        </w:rPr>
        <w:t xml:space="preserve">, not just peak-week failure.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constraints extended beyond the promotional window.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Holiday demand is overwhelming downstream logistics well into January.</w:t>
      </w:r>
    </w:p>
    <w:p w:rsidR="00000000" w:rsidDel="00000000" w:rsidP="00000000" w:rsidRDefault="00000000" w:rsidRPr="00000000" w14:paraId="00000042">
      <w:pPr>
        <w:rPr/>
        <w:sectPr>
          <w:headerReference r:id="rId22" w:type="default"/>
          <w:headerReference r:id="rId23" w:type="first"/>
          <w:footerReference r:id="rId24" w:type="default"/>
          <w:footerReference r:id="rId25" w:type="firs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ilk57yra0jlj" w:id="6"/>
      <w:bookmarkEnd w:id="6"/>
      <w:r w:rsidDel="00000000" w:rsidR="00000000" w:rsidRPr="00000000">
        <w:rPr>
          <w:sz w:val="34"/>
          <w:szCs w:val="3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533775" cy="2652713"/>
            <wp:effectExtent b="0" l="0" r="0" t="0"/>
            <wp:wrapNone/>
            <wp:docPr descr="Total Deliveries By Status" id="8" name="image10.png"/>
            <a:graphic>
              <a:graphicData uri="http://schemas.openxmlformats.org/drawingml/2006/picture">
                <pic:pic>
                  <pic:nvPicPr>
                    <pic:cNvPr descr="Total Deliveries By Status"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52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570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870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pStyle w:val="Heading2"/>
              <w:spacing w:after="80" w:before="360" w:line="360" w:lineRule="auto"/>
              <w:ind w:right="0"/>
              <w:rPr>
                <w:sz w:val="34"/>
                <w:szCs w:val="34"/>
              </w:rPr>
            </w:pPr>
            <w:bookmarkStart w:colFirst="0" w:colLast="0" w:name="_ilk57yra0jlj" w:id="6"/>
            <w:bookmarkEnd w:id="6"/>
            <w:r w:rsidDel="00000000" w:rsidR="00000000" w:rsidRPr="00000000">
              <w:rPr>
                <w:color w:val="605e5c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Delivery Status Mix (Donut Chart)</w:t>
            </w:r>
          </w:p>
          <w:p w:rsidR="00000000" w:rsidDel="00000000" w:rsidP="00000000" w:rsidRDefault="00000000" w:rsidRPr="00000000" w14:paraId="00000045">
            <w:pPr>
              <w:pStyle w:val="Heading2"/>
              <w:numPr>
                <w:ilvl w:val="0"/>
                <w:numId w:val="9"/>
              </w:numPr>
              <w:spacing w:after="0" w:afterAutospacing="0" w:before="240" w:line="360" w:lineRule="auto"/>
              <w:ind w:left="720" w:right="0" w:hanging="360"/>
              <w:rPr>
                <w:b w:val="1"/>
                <w:bCs w:val="1"/>
                <w:sz w:val="20"/>
                <w:szCs w:val="20"/>
              </w:rPr>
            </w:pPr>
            <w:bookmarkStart w:colFirst="0" w:colLast="0" w:name="_ilk57yra0jlj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~31K deliveries late vs ~14K on time.</w:t>
              <w:br w:type="textWrapping"/>
            </w:r>
          </w:p>
          <w:p w:rsidR="00000000" w:rsidDel="00000000" w:rsidP="00000000" w:rsidRDefault="00000000" w:rsidRPr="00000000" w14:paraId="00000046">
            <w:pPr>
              <w:pStyle w:val="Heading2"/>
              <w:numPr>
                <w:ilvl w:val="0"/>
                <w:numId w:val="9"/>
              </w:numPr>
              <w:spacing w:after="240" w:before="0" w:beforeAutospacing="0" w:line="360" w:lineRule="auto"/>
              <w:ind w:left="720" w:right="0" w:hanging="360"/>
              <w:rPr>
                <w:b w:val="1"/>
                <w:bCs w:val="1"/>
                <w:sz w:val="18"/>
                <w:szCs w:val="18"/>
              </w:rPr>
            </w:pPr>
            <w:bookmarkStart w:colFirst="0" w:colLast="0" w:name="_ilk57yra0jlj" w:id="6"/>
            <w:bookmarkEnd w:id="6"/>
            <w:r w:rsidDel="00000000" w:rsidR="00000000" w:rsidRPr="00000000">
              <w:rPr>
                <w:sz w:val="18"/>
                <w:szCs w:val="18"/>
                <w:rtl w:val="0"/>
              </w:rPr>
              <w:t xml:space="preserve">Late deliveries dominate total volume.</w:t>
              <w:br w:type="textWrapping"/>
            </w:r>
          </w:p>
          <w:p w:rsidR="00000000" w:rsidDel="00000000" w:rsidP="00000000" w:rsidRDefault="00000000" w:rsidRPr="00000000" w14:paraId="00000047">
            <w:pPr>
              <w:pStyle w:val="Heading2"/>
              <w:spacing w:after="240" w:before="240" w:line="360" w:lineRule="auto"/>
              <w:ind w:left="0" w:right="0" w:firstLine="0"/>
              <w:rPr>
                <w:sz w:val="34"/>
                <w:szCs w:val="34"/>
              </w:rPr>
            </w:pPr>
            <w:bookmarkStart w:colFirst="0" w:colLast="0" w:name="_ysfv3qf3yhzj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Implication: Late delivery is the norm, not the exception—this is a structural issue.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Carrier Performance</w:t>
            </w:r>
          </w:p>
          <w:p w:rsidR="00000000" w:rsidDel="00000000" w:rsidP="00000000" w:rsidRDefault="00000000" w:rsidRPr="00000000" w14:paraId="00000048">
            <w:pPr>
              <w:pStyle w:val="Heading2"/>
              <w:numPr>
                <w:ilvl w:val="0"/>
                <w:numId w:val="4"/>
              </w:numPr>
              <w:spacing w:after="0" w:afterAutospacing="0" w:before="240" w:line="360" w:lineRule="auto"/>
              <w:ind w:left="720" w:right="0" w:hanging="360"/>
              <w:rPr>
                <w:b w:val="1"/>
                <w:bCs w:val="1"/>
                <w:sz w:val="20"/>
                <w:szCs w:val="20"/>
              </w:rPr>
            </w:pPr>
            <w:bookmarkStart w:colFirst="0" w:colLast="0" w:name="_ysfv3qf3yhzj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All carriers (UPS, DHL, FedEx, USPS) show similarly high late rates.</w:t>
              <w:br w:type="textWrapping"/>
            </w:r>
          </w:p>
          <w:p w:rsidR="00000000" w:rsidDel="00000000" w:rsidP="00000000" w:rsidRDefault="00000000" w:rsidRPr="00000000" w14:paraId="00000049">
            <w:pPr>
              <w:pStyle w:val="Heading2"/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right="0" w:hanging="360"/>
              <w:rPr>
                <w:b w:val="1"/>
                <w:bCs w:val="1"/>
                <w:sz w:val="20"/>
                <w:szCs w:val="20"/>
              </w:rPr>
            </w:pPr>
            <w:bookmarkStart w:colFirst="0" w:colLast="0" w:name="_ysfv3qf3yhzj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No clear “best carrier” emerges.</w:t>
              <w:br w:type="textWrapping"/>
            </w:r>
          </w:p>
          <w:p w:rsidR="00000000" w:rsidDel="00000000" w:rsidP="00000000" w:rsidRDefault="00000000" w:rsidRPr="00000000" w14:paraId="0000004A">
            <w:pPr>
              <w:pStyle w:val="Heading2"/>
              <w:numPr>
                <w:ilvl w:val="0"/>
                <w:numId w:val="4"/>
              </w:numPr>
              <w:spacing w:after="240" w:before="0" w:beforeAutospacing="0" w:line="360" w:lineRule="auto"/>
              <w:ind w:left="720" w:right="0" w:hanging="360"/>
              <w:rPr>
                <w:b w:val="1"/>
                <w:bCs w:val="1"/>
                <w:sz w:val="20"/>
                <w:szCs w:val="20"/>
              </w:rPr>
            </w:pPr>
            <w:bookmarkStart w:colFirst="0" w:colLast="0" w:name="_ysfv3qf3yhzj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DHL shows the highest 7-day late deliveries despite similar volume.</w:t>
              <w:br w:type="textWrapping"/>
            </w:r>
          </w:p>
          <w:p w:rsidR="00000000" w:rsidDel="00000000" w:rsidP="00000000" w:rsidRDefault="00000000" w:rsidRPr="00000000" w14:paraId="0000004B">
            <w:pPr>
              <w:pStyle w:val="Heading2"/>
              <w:spacing w:after="240" w:before="240" w:line="360" w:lineRule="auto"/>
              <w:ind w:left="0" w:right="0" w:firstLine="0"/>
              <w:rPr>
                <w:sz w:val="20"/>
                <w:szCs w:val="20"/>
              </w:rPr>
            </w:pPr>
            <w:bookmarkStart w:colFirst="0" w:colLast="0" w:name="_t7uhp42gfoo" w:id="8"/>
            <w:bookmarkEnd w:id="8"/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Implication:This is not a single-carrier failure. Carrier diversification alone will not fix this.</w:t>
            </w:r>
          </w:p>
          <w:p w:rsidR="00000000" w:rsidDel="00000000" w:rsidP="00000000" w:rsidRDefault="00000000" w:rsidRPr="00000000" w14:paraId="0000004C">
            <w:pPr>
              <w:pStyle w:val="Heading2"/>
              <w:spacing w:after="240" w:before="240" w:line="360" w:lineRule="auto"/>
              <w:ind w:left="0" w:right="0" w:firstLine="0"/>
              <w:rPr>
                <w:sz w:val="20"/>
                <w:szCs w:val="20"/>
              </w:rPr>
            </w:pPr>
            <w:bookmarkStart w:colFirst="0" w:colLast="0" w:name="_sm9eelvu14aw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Style w:val="Heading2"/>
              <w:spacing w:after="80" w:before="360" w:line="360" w:lineRule="auto"/>
              <w:ind w:right="0"/>
              <w:rPr>
                <w:sz w:val="36"/>
                <w:szCs w:val="36"/>
              </w:rPr>
            </w:pPr>
            <w:bookmarkStart w:colFirst="0" w:colLast="0" w:name="_9qi9v4wli23m" w:id="10"/>
            <w:bookmarkEnd w:id="10"/>
            <w:r w:rsidDel="00000000" w:rsidR="00000000" w:rsidRPr="00000000">
              <w:rPr>
                <w:sz w:val="36"/>
                <w:szCs w:val="36"/>
                <w:rtl w:val="0"/>
              </w:rPr>
              <w:t xml:space="preserve">Warehouse Performance</w:t>
            </w:r>
          </w:p>
          <w:p w:rsidR="00000000" w:rsidDel="00000000" w:rsidP="00000000" w:rsidRDefault="00000000" w:rsidRPr="00000000" w14:paraId="0000004E">
            <w:pPr>
              <w:pStyle w:val="Heading2"/>
              <w:numPr>
                <w:ilvl w:val="0"/>
                <w:numId w:val="18"/>
              </w:numPr>
              <w:spacing w:after="0" w:afterAutospacing="0" w:before="240" w:line="360" w:lineRule="auto"/>
              <w:ind w:left="720" w:right="0" w:hanging="360"/>
              <w:rPr>
                <w:b w:val="1"/>
                <w:bCs w:val="1"/>
                <w:sz w:val="20"/>
                <w:szCs w:val="20"/>
              </w:rPr>
            </w:pPr>
            <w:bookmarkStart w:colFirst="0" w:colLast="0" w:name="_oyn5xv2gilom" w:id="11"/>
            <w:bookmarkEnd w:id="11"/>
            <w:r w:rsidDel="00000000" w:rsidR="00000000" w:rsidRPr="00000000">
              <w:rPr>
                <w:sz w:val="20"/>
                <w:szCs w:val="20"/>
                <w:rtl w:val="0"/>
              </w:rPr>
              <w:t xml:space="preserve">Late delivery concentration is highest in W02, W03, and W05 (~20% each).</w:t>
              <w:br w:type="textWrapping"/>
            </w:r>
          </w:p>
          <w:p w:rsidR="00000000" w:rsidDel="00000000" w:rsidP="00000000" w:rsidRDefault="00000000" w:rsidRPr="00000000" w14:paraId="0000004F">
            <w:pPr>
              <w:pStyle w:val="Heading2"/>
              <w:numPr>
                <w:ilvl w:val="0"/>
                <w:numId w:val="18"/>
              </w:numPr>
              <w:spacing w:after="240" w:before="0" w:beforeAutospacing="0" w:line="360" w:lineRule="auto"/>
              <w:ind w:left="720" w:right="0" w:hanging="360"/>
              <w:rPr>
                <w:b w:val="1"/>
                <w:bCs w:val="1"/>
                <w:sz w:val="20"/>
                <w:szCs w:val="20"/>
              </w:rPr>
            </w:pPr>
            <w:bookmarkStart w:colFirst="0" w:colLast="0" w:name="_oyn5xv2gilom" w:id="11"/>
            <w:bookmarkEnd w:id="11"/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variance exists across warehouses.</w:t>
              <w:br w:type="textWrapping"/>
            </w:r>
          </w:p>
          <w:p w:rsidR="00000000" w:rsidDel="00000000" w:rsidP="00000000" w:rsidRDefault="00000000" w:rsidRPr="00000000" w14:paraId="00000050">
            <w:pPr>
              <w:pStyle w:val="Heading2"/>
              <w:spacing w:after="240" w:before="240" w:line="360" w:lineRule="auto"/>
              <w:ind w:left="0" w:right="0" w:firstLine="0"/>
              <w:rPr>
                <w:sz w:val="20"/>
                <w:szCs w:val="20"/>
              </w:rPr>
            </w:pPr>
            <w:bookmarkStart w:colFirst="0" w:colLast="0" w:name="_um6xtf5cstxe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Implication: Fulfillment execution is uneven—process and capacity gaps at specific nodes.</w:t>
            </w:r>
          </w:p>
          <w:p w:rsidR="00000000" w:rsidDel="00000000" w:rsidP="00000000" w:rsidRDefault="00000000" w:rsidRPr="00000000" w14:paraId="00000051">
            <w:pPr>
              <w:pStyle w:val="Heading2"/>
              <w:spacing w:after="80" w:before="360" w:line="360" w:lineRule="auto"/>
              <w:ind w:right="0"/>
              <w:rPr>
                <w:color w:val="605e5c"/>
                <w:sz w:val="18"/>
                <w:szCs w:val="18"/>
              </w:rPr>
            </w:pPr>
            <w:bookmarkStart w:colFirst="0" w:colLast="0" w:name="_oyn5xv2gilom" w:id="11"/>
            <w:bookmarkEnd w:id="1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pStyle w:val="Heading2"/>
              <w:spacing w:before="0" w:line="360" w:lineRule="auto"/>
              <w:ind w:left="0" w:right="0" w:firstLine="0"/>
              <w:rPr>
                <w:color w:val="605e5c"/>
                <w:sz w:val="18"/>
                <w:szCs w:val="18"/>
              </w:rPr>
            </w:pPr>
            <w:bookmarkStart w:colFirst="0" w:colLast="0" w:name="_ilk57yra0jlj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spacing w:after="80" w:before="360" w:line="360" w:lineRule="auto"/>
        <w:ind w:right="0"/>
        <w:rPr>
          <w:sz w:val="34"/>
          <w:szCs w:val="34"/>
        </w:rPr>
        <w:sectPr>
          <w:type w:val="nextPage"/>
          <w:pgSz w:h="15840" w:w="12240" w:orient="portrait"/>
          <w:pgMar w:bottom="1440" w:top="1440" w:left="1440" w:right="1440" w:header="0" w:footer="720"/>
        </w:sectPr>
      </w:pPr>
      <w:bookmarkStart w:colFirst="0" w:colLast="0" w:name="_ilk57yra0jlj" w:id="6"/>
      <w:bookmarkEnd w:id="6"/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4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6htog2lorgww" w:id="13"/>
      <w:bookmarkEnd w:id="13"/>
      <w:r w:rsidDel="00000000" w:rsidR="00000000" w:rsidRPr="00000000">
        <w:rPr>
          <w:sz w:val="34"/>
          <w:szCs w:val="3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923925</wp:posOffset>
            </wp:positionH>
            <wp:positionV relativeFrom="page">
              <wp:posOffset>1114425</wp:posOffset>
            </wp:positionV>
            <wp:extent cx="5943600" cy="4179888"/>
            <wp:effectExtent b="0" l="0" r="0" t="0"/>
            <wp:wrapNone/>
            <wp:docPr descr="OTD and Avg Late Delivery by Service Level" id="7" name="image8.png"/>
            <a:graphic>
              <a:graphicData uri="http://schemas.openxmlformats.org/drawingml/2006/picture">
                <pic:pic>
                  <pic:nvPicPr>
                    <pic:cNvPr descr="OTD and Avg Late Delivery by Service Level"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75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6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Style w:val="Heading2"/>
              <w:spacing w:after="80" w:before="360" w:line="360" w:lineRule="auto"/>
              <w:ind w:right="0"/>
              <w:rPr>
                <w:sz w:val="34"/>
                <w:szCs w:val="34"/>
              </w:rPr>
            </w:pPr>
            <w:bookmarkStart w:colFirst="0" w:colLast="0" w:name="_gwm6nntbxr2" w:id="14"/>
            <w:bookmarkEnd w:id="14"/>
            <w:r w:rsidDel="00000000" w:rsidR="00000000" w:rsidRPr="00000000">
              <w:rPr>
                <w:color w:val="605e5c"/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Service Level Analysis</w:t>
            </w:r>
          </w:p>
          <w:p w:rsidR="00000000" w:rsidDel="00000000" w:rsidP="00000000" w:rsidRDefault="00000000" w:rsidRPr="00000000" w14:paraId="00000056">
            <w:pPr>
              <w:pStyle w:val="Heading2"/>
              <w:numPr>
                <w:ilvl w:val="0"/>
                <w:numId w:val="12"/>
              </w:numPr>
              <w:spacing w:after="0" w:afterAutospacing="0" w:before="240" w:line="360" w:lineRule="auto"/>
              <w:ind w:left="720" w:right="0" w:hanging="360"/>
              <w:rPr>
                <w:b w:val="1"/>
                <w:bCs w:val="1"/>
                <w:color w:val="605e5c"/>
                <w:sz w:val="18"/>
                <w:szCs w:val="18"/>
              </w:rPr>
            </w:pPr>
            <w:bookmarkStart w:colFirst="0" w:colLast="0" w:name="_gwm6nntbxr2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Expedited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Highest OTD (47%) but still underperforming expectations.</w:t>
            </w:r>
            <w:r w:rsidDel="00000000" w:rsidR="00000000" w:rsidRPr="00000000">
              <w:rPr>
                <w:color w:val="605e5c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2"/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right="0" w:hanging="360"/>
              <w:rPr>
                <w:b w:val="1"/>
                <w:bCs w:val="1"/>
              </w:rPr>
            </w:pPr>
            <w:bookmarkStart w:colFirst="0" w:colLast="0" w:name="_gwm6nntbxr2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BOPIS &amp; Overnight: Mid-range OTD (~32–34%) with 2-day delays.</w:t>
              <w:br w:type="textWrapping"/>
            </w:r>
          </w:p>
          <w:p w:rsidR="00000000" w:rsidDel="00000000" w:rsidP="00000000" w:rsidRDefault="00000000" w:rsidRPr="00000000" w14:paraId="00000058">
            <w:pPr>
              <w:pStyle w:val="Heading2"/>
              <w:numPr>
                <w:ilvl w:val="0"/>
                <w:numId w:val="12"/>
              </w:numPr>
              <w:spacing w:after="240" w:before="0" w:beforeAutospacing="0" w:line="360" w:lineRule="auto"/>
              <w:ind w:left="720" w:right="0" w:hanging="360"/>
              <w:rPr>
                <w:b w:val="1"/>
                <w:bCs w:val="1"/>
              </w:rPr>
            </w:pPr>
            <w:bookmarkStart w:colFirst="0" w:colLast="0" w:name="_gwm6nntbxr2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Standard: Lowest OTD (24%) and worst average lateness (2 days).</w:t>
              <w:br w:type="textWrapping"/>
            </w:r>
          </w:p>
          <w:p w:rsidR="00000000" w:rsidDel="00000000" w:rsidP="00000000" w:rsidRDefault="00000000" w:rsidRPr="00000000" w14:paraId="00000059">
            <w:pPr>
              <w:pStyle w:val="Heading2"/>
              <w:spacing w:after="240" w:before="240" w:line="360" w:lineRule="auto"/>
              <w:ind w:left="0" w:right="0" w:firstLine="0"/>
              <w:rPr>
                <w:sz w:val="22"/>
                <w:szCs w:val="22"/>
              </w:rPr>
            </w:pPr>
            <w:bookmarkStart w:colFirst="0" w:colLast="0" w:name="_oejuv3dxo83o" w:id="15"/>
            <w:bookmarkEnd w:id="15"/>
            <w:r w:rsidDel="00000000" w:rsidR="00000000" w:rsidRPr="00000000">
              <w:rPr>
                <w:sz w:val="22"/>
                <w:szCs w:val="22"/>
                <w:rtl w:val="0"/>
              </w:rPr>
              <w:t xml:space="preserve">Key insight: Customers paying for speed are not consistently receiving it—brand trust risk.</w:t>
            </w:r>
          </w:p>
          <w:p w:rsidR="00000000" w:rsidDel="00000000" w:rsidP="00000000" w:rsidRDefault="00000000" w:rsidRPr="00000000" w14:paraId="0000005A">
            <w:pPr>
              <w:pStyle w:val="Heading2"/>
              <w:spacing w:after="80" w:before="360" w:line="360" w:lineRule="auto"/>
              <w:ind w:right="0"/>
              <w:rPr>
                <w:sz w:val="34"/>
                <w:szCs w:val="34"/>
              </w:rPr>
            </w:pPr>
            <w:bookmarkStart w:colFirst="0" w:colLast="0" w:name="_4ydg3s71eop" w:id="16"/>
            <w:bookmarkEnd w:id="16"/>
            <w:r w:rsidDel="00000000" w:rsidR="00000000" w:rsidRPr="00000000">
              <w:rPr>
                <w:sz w:val="34"/>
                <w:szCs w:val="34"/>
                <w:rtl w:val="0"/>
              </w:rPr>
              <w:t xml:space="preserve">Business Impact (Translate to money &amp; CX)</w:t>
            </w:r>
          </w:p>
          <w:p w:rsidR="00000000" w:rsidDel="00000000" w:rsidP="00000000" w:rsidRDefault="00000000" w:rsidRPr="00000000" w14:paraId="0000005B">
            <w:pPr>
              <w:pStyle w:val="Heading2"/>
              <w:numPr>
                <w:ilvl w:val="0"/>
                <w:numId w:val="8"/>
              </w:numPr>
              <w:spacing w:after="0" w:afterAutospacing="0" w:before="240" w:line="360" w:lineRule="auto"/>
              <w:ind w:left="720" w:right="0" w:hanging="360"/>
              <w:rPr>
                <w:b w:val="1"/>
                <w:bCs w:val="1"/>
                <w:sz w:val="18"/>
                <w:szCs w:val="18"/>
              </w:rPr>
            </w:pPr>
            <w:bookmarkStart w:colFirst="0" w:colLast="0" w:name="_9hmgfgh5ja4k" w:id="17"/>
            <w:bookmarkEnd w:id="17"/>
            <w:r w:rsidDel="00000000" w:rsidR="00000000" w:rsidRPr="00000000">
              <w:rPr>
                <w:sz w:val="18"/>
                <w:szCs w:val="18"/>
                <w:rtl w:val="0"/>
              </w:rPr>
              <w:t xml:space="preserve">High late rates directly drive:</w:t>
              <w:br w:type="textWrapping"/>
            </w:r>
          </w:p>
          <w:p w:rsidR="00000000" w:rsidDel="00000000" w:rsidP="00000000" w:rsidRDefault="00000000" w:rsidRPr="00000000" w14:paraId="0000005C">
            <w:pPr>
              <w:pStyle w:val="Heading2"/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right="0" w:hanging="360"/>
              <w:rPr>
                <w:b w:val="1"/>
                <w:bCs w:val="1"/>
                <w:sz w:val="26"/>
                <w:szCs w:val="26"/>
              </w:rPr>
            </w:pPr>
            <w:bookmarkStart w:colFirst="0" w:colLast="0" w:name="_9hmgfgh5ja4k" w:id="17"/>
            <w:bookmarkEnd w:id="17"/>
            <w:r w:rsidDel="00000000" w:rsidR="00000000" w:rsidRPr="00000000">
              <w:rPr>
                <w:rtl w:val="0"/>
              </w:rPr>
              <w:t xml:space="preserve">Customer dissatisfaction and repeat-purchase risk</w:t>
              <w:br w:type="textWrapping"/>
            </w:r>
          </w:p>
          <w:p w:rsidR="00000000" w:rsidDel="00000000" w:rsidP="00000000" w:rsidRDefault="00000000" w:rsidRPr="00000000" w14:paraId="0000005D">
            <w:pPr>
              <w:pStyle w:val="Heading2"/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right="0" w:hanging="360"/>
              <w:rPr>
                <w:b w:val="1"/>
                <w:bCs w:val="1"/>
                <w:sz w:val="26"/>
                <w:szCs w:val="26"/>
              </w:rPr>
            </w:pPr>
            <w:bookmarkStart w:colFirst="0" w:colLast="0" w:name="_9hmgfgh5ja4k" w:id="17"/>
            <w:bookmarkEnd w:id="17"/>
            <w:r w:rsidDel="00000000" w:rsidR="00000000" w:rsidRPr="00000000">
              <w:rPr>
                <w:rtl w:val="0"/>
              </w:rPr>
              <w:t xml:space="preserve">Increased support tickets and refunds</w:t>
              <w:br w:type="textWrapping"/>
            </w:r>
          </w:p>
          <w:p w:rsidR="00000000" w:rsidDel="00000000" w:rsidP="00000000" w:rsidRDefault="00000000" w:rsidRPr="00000000" w14:paraId="0000005E">
            <w:pPr>
              <w:pStyle w:val="Heading2"/>
              <w:numPr>
                <w:ilvl w:val="1"/>
                <w:numId w:val="8"/>
              </w:numPr>
              <w:spacing w:after="0" w:afterAutospacing="0" w:before="0" w:beforeAutospacing="0" w:line="360" w:lineRule="auto"/>
              <w:ind w:left="1440" w:right="0" w:hanging="360"/>
              <w:rPr>
                <w:b w:val="1"/>
                <w:bCs w:val="1"/>
                <w:sz w:val="26"/>
                <w:szCs w:val="26"/>
              </w:rPr>
            </w:pPr>
            <w:bookmarkStart w:colFirst="0" w:colLast="0" w:name="_9hmgfgh5ja4k" w:id="17"/>
            <w:bookmarkEnd w:id="17"/>
            <w:r w:rsidDel="00000000" w:rsidR="00000000" w:rsidRPr="00000000">
              <w:rPr>
                <w:rtl w:val="0"/>
              </w:rPr>
              <w:t xml:space="preserve">Inefficient shipping spend with low ROI</w:t>
              <w:br w:type="textWrapping"/>
            </w:r>
          </w:p>
          <w:p w:rsidR="00000000" w:rsidDel="00000000" w:rsidP="00000000" w:rsidRDefault="00000000" w:rsidRPr="00000000" w14:paraId="0000005F">
            <w:pPr>
              <w:pStyle w:val="Heading2"/>
              <w:numPr>
                <w:ilvl w:val="0"/>
                <w:numId w:val="8"/>
              </w:numPr>
              <w:spacing w:after="240" w:before="0" w:beforeAutospacing="0" w:line="360" w:lineRule="auto"/>
              <w:ind w:left="720" w:right="0" w:hanging="360"/>
              <w:rPr>
                <w:b w:val="1"/>
                <w:bCs w:val="1"/>
                <w:sz w:val="26"/>
                <w:szCs w:val="26"/>
              </w:rPr>
            </w:pPr>
            <w:bookmarkStart w:colFirst="0" w:colLast="0" w:name="_byzqt9irlrm1" w:id="18"/>
            <w:bookmarkEnd w:id="18"/>
            <w:r w:rsidDel="00000000" w:rsidR="00000000" w:rsidRPr="00000000">
              <w:rPr>
                <w:rtl w:val="0"/>
              </w:rPr>
              <w:t xml:space="preserve">This directly undermines Holiday campaign profitability.</w:t>
            </w:r>
          </w:p>
          <w:p w:rsidR="00000000" w:rsidDel="00000000" w:rsidP="00000000" w:rsidRDefault="00000000" w:rsidRPr="00000000" w14:paraId="00000060">
            <w:pPr>
              <w:pStyle w:val="Heading2"/>
              <w:spacing w:after="80" w:before="360" w:line="360" w:lineRule="auto"/>
              <w:ind w:right="0"/>
              <w:rPr>
                <w:color w:val="605e5c"/>
                <w:sz w:val="18"/>
                <w:szCs w:val="18"/>
              </w:rPr>
            </w:pPr>
            <w:bookmarkStart w:colFirst="0" w:colLast="0" w:name="_9hmgfgh5ja4k" w:id="17"/>
            <w:bookmarkEnd w:id="1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pStyle w:val="Heading2"/>
              <w:spacing w:after="80" w:before="360" w:line="360" w:lineRule="auto"/>
              <w:ind w:right="0"/>
              <w:rPr>
                <w:color w:val="605e5c"/>
                <w:sz w:val="18"/>
                <w:szCs w:val="18"/>
              </w:rPr>
            </w:pPr>
            <w:bookmarkStart w:colFirst="0" w:colLast="0" w:name="_9y1pjocjtwih" w:id="19"/>
            <w:bookmarkEnd w:id="19"/>
            <w:r w:rsidDel="00000000" w:rsidR="00000000" w:rsidRPr="00000000">
              <w:rPr>
                <w:color w:val="605e5c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This dashboard shows that late delivery during the holiday season is not an anomaly—it’s a systemic execution gap. Until fulfillment capacity, warehouse performance, and service-level promises are aligned, increased shipping spend and aggressive promotions will continue to erode customer trust and profit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gwm6nntbxr2" w:id="14"/>
      <w:bookmarkEnd w:id="14"/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h41zycaibqml" w:id="20"/>
      <w:bookmarkEnd w:id="20"/>
      <w:r w:rsidDel="00000000" w:rsidR="00000000" w:rsidRPr="00000000">
        <w:rPr>
          <w:sz w:val="34"/>
          <w:szCs w:val="34"/>
          <w:rtl w:val="0"/>
        </w:rPr>
        <w:t xml:space="preserve">Strategic Recommendations — Omnichannel Holiday Sales</w:t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17"/>
        </w:numPr>
        <w:spacing w:after="0" w:afterAutospacing="0" w:before="240" w:line="360" w:lineRule="auto"/>
        <w:ind w:left="720" w:right="0" w:hanging="360"/>
        <w:rPr>
          <w:b w:val="1"/>
          <w:bCs w:val="1"/>
          <w:sz w:val="34"/>
          <w:szCs w:val="34"/>
        </w:rPr>
      </w:pPr>
      <w:bookmarkStart w:colFirst="0" w:colLast="0" w:name="_t3hcpm1tnij3" w:id="21"/>
      <w:bookmarkEnd w:id="21"/>
      <w:r w:rsidDel="00000000" w:rsidR="00000000" w:rsidRPr="00000000">
        <w:rPr>
          <w:sz w:val="34"/>
          <w:szCs w:val="34"/>
          <w:rtl w:val="0"/>
        </w:rPr>
        <w:t xml:space="preserve">Reset delivery promises: Align holiday marketing and service-level commitments with actual fulfillment capacity to stop systematic over-promising.</w:t>
        <w:br w:type="textWrapping"/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17"/>
        </w:numPr>
        <w:spacing w:after="0" w:afterAutospacing="0" w:before="0" w:beforeAutospacing="0" w:line="360" w:lineRule="auto"/>
        <w:ind w:left="720" w:right="0" w:hanging="360"/>
        <w:rPr>
          <w:b w:val="1"/>
          <w:bCs w:val="1"/>
          <w:sz w:val="34"/>
          <w:szCs w:val="34"/>
        </w:rPr>
      </w:pPr>
      <w:bookmarkStart w:colFirst="0" w:colLast="0" w:name="_t3hcpm1tnij3" w:id="21"/>
      <w:bookmarkEnd w:id="21"/>
      <w:r w:rsidDel="00000000" w:rsidR="00000000" w:rsidRPr="00000000">
        <w:rPr>
          <w:sz w:val="34"/>
          <w:szCs w:val="34"/>
          <w:rtl w:val="0"/>
        </w:rPr>
        <w:t xml:space="preserve">Shift volume to controllable channels: Aggressively promote BOPIS and in-store fulfillment to reduce carrier dependency and improve on-time performance.</w:t>
        <w:br w:type="textWrapping"/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17"/>
        </w:numPr>
        <w:spacing w:after="0" w:afterAutospacing="0" w:before="0" w:beforeAutospacing="0" w:line="360" w:lineRule="auto"/>
        <w:ind w:left="720" w:right="0" w:hanging="360"/>
        <w:rPr>
          <w:b w:val="1"/>
          <w:bCs w:val="1"/>
          <w:sz w:val="34"/>
          <w:szCs w:val="34"/>
        </w:rPr>
      </w:pPr>
      <w:bookmarkStart w:colFirst="0" w:colLast="0" w:name="_t3hcpm1tnij3" w:id="21"/>
      <w:bookmarkEnd w:id="21"/>
      <w:r w:rsidDel="00000000" w:rsidR="00000000" w:rsidRPr="00000000">
        <w:rPr>
          <w:sz w:val="34"/>
          <w:szCs w:val="34"/>
          <w:rtl w:val="0"/>
        </w:rPr>
        <w:t xml:space="preserve">Fix fulfillment bottlenecks first: Prioritize capacity, staffing, and cut-off optimization in underperforming warehouses (W02, W03, W05).</w:t>
        <w:br w:type="textWrapping"/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7"/>
        </w:numPr>
        <w:spacing w:after="0" w:afterAutospacing="0" w:before="0" w:beforeAutospacing="0" w:line="360" w:lineRule="auto"/>
        <w:ind w:left="720" w:right="0" w:hanging="360"/>
        <w:rPr>
          <w:b w:val="1"/>
          <w:bCs w:val="1"/>
          <w:sz w:val="34"/>
          <w:szCs w:val="34"/>
        </w:rPr>
      </w:pPr>
      <w:bookmarkStart w:colFirst="0" w:colLast="0" w:name="_t3hcpm1tnij3" w:id="21"/>
      <w:bookmarkEnd w:id="21"/>
      <w:r w:rsidDel="00000000" w:rsidR="00000000" w:rsidRPr="00000000">
        <w:rPr>
          <w:sz w:val="34"/>
          <w:szCs w:val="34"/>
          <w:rtl w:val="0"/>
        </w:rPr>
        <w:t xml:space="preserve">Enforce carrier accountability: Move to SLA-linked contracts and route high-value orders based on proven on-time performance, not legacy allocation.</w:t>
        <w:br w:type="textWrapping"/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17"/>
        </w:numPr>
        <w:spacing w:after="0" w:afterAutospacing="0" w:before="0" w:beforeAutospacing="0" w:line="360" w:lineRule="auto"/>
        <w:ind w:left="720" w:right="0" w:hanging="360"/>
        <w:rPr>
          <w:b w:val="1"/>
          <w:bCs w:val="1"/>
          <w:sz w:val="34"/>
          <w:szCs w:val="34"/>
        </w:rPr>
      </w:pPr>
      <w:bookmarkStart w:colFirst="0" w:colLast="0" w:name="_t3hcpm1tnij3" w:id="21"/>
      <w:bookmarkEnd w:id="21"/>
      <w:r w:rsidDel="00000000" w:rsidR="00000000" w:rsidRPr="00000000">
        <w:rPr>
          <w:sz w:val="34"/>
          <w:szCs w:val="34"/>
          <w:rtl w:val="0"/>
        </w:rPr>
        <w:t xml:space="preserve">Protect premium margins: Throttle Expedited and Overnight services when OTD drops below threshold to avoid charging for unmet service levels.</w:t>
        <w:br w:type="textWrapping"/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17"/>
        </w:numPr>
        <w:spacing w:after="240" w:before="0" w:beforeAutospacing="0" w:line="360" w:lineRule="auto"/>
        <w:ind w:left="720" w:right="0" w:hanging="360"/>
        <w:rPr>
          <w:b w:val="1"/>
          <w:bCs w:val="1"/>
          <w:sz w:val="34"/>
          <w:szCs w:val="34"/>
        </w:rPr>
      </w:pPr>
      <w:bookmarkStart w:colFirst="0" w:colLast="0" w:name="_vrkev7te2u78" w:id="22"/>
      <w:bookmarkEnd w:id="22"/>
      <w:r w:rsidDel="00000000" w:rsidR="00000000" w:rsidRPr="00000000">
        <w:rPr>
          <w:sz w:val="34"/>
          <w:szCs w:val="34"/>
          <w:rtl w:val="0"/>
        </w:rPr>
        <w:t xml:space="preserve">Gate holiday campaigns: Require logistics sign-off and stress-tested capacity plans before launching peak promotions.</w:t>
      </w:r>
    </w:p>
    <w:p w:rsidR="00000000" w:rsidDel="00000000" w:rsidP="00000000" w:rsidRDefault="00000000" w:rsidRPr="00000000" w14:paraId="0000006A">
      <w:pPr>
        <w:pStyle w:val="Heading2"/>
        <w:spacing w:after="80" w:before="360" w:line="360" w:lineRule="auto"/>
        <w:ind w:right="0"/>
        <w:rPr/>
      </w:pPr>
      <w:bookmarkStart w:colFirst="0" w:colLast="0" w:name="_t3hcpm1tnij3" w:id="21"/>
      <w:bookmarkEnd w:id="21"/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rPr/>
        <w:sectPr>
          <w:type w:val="nextPage"/>
          <w:pgSz w:h="15840" w:w="12240" w:orient="portrait"/>
          <w:pgMar w:bottom="1440" w:top="144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8" w:type="default"/>
          <w:headerReference r:id="rId29" w:type="first"/>
          <w:footerReference r:id="rId30" w:type="default"/>
          <w:footerReference r:id="rId31" w:type="firs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yds5mcev1dkm" w:id="23"/>
      <w:bookmarkEnd w:id="23"/>
      <w:r w:rsidDel="00000000" w:rsidR="00000000" w:rsidRPr="00000000">
        <w:rPr>
          <w:rFonts w:ascii="Economica" w:cs="Economica" w:eastAsia="Economica" w:hAnsi="Economica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Product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840037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8919" l="4107" r="28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4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Executive KPI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Quantity Sold: 328K units</w:t>
      </w:r>
      <w:r w:rsidDel="00000000" w:rsidR="00000000" w:rsidRPr="00000000">
        <w:rPr>
          <w:rtl w:val="0"/>
        </w:rPr>
        <w:t xml:space="preserve">: strong holiday demand across categories.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Revenue: $44.84M</w:t>
      </w:r>
      <w:r w:rsidDel="00000000" w:rsidR="00000000" w:rsidRPr="00000000">
        <w:rPr>
          <w:rtl w:val="0"/>
        </w:rPr>
        <w:t xml:space="preserve"> :high topline performance.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Profit: $11.30M</w:t>
      </w:r>
      <w:r w:rsidDel="00000000" w:rsidR="00000000" w:rsidRPr="00000000">
        <w:rPr>
          <w:rtl w:val="0"/>
        </w:rPr>
        <w:t xml:space="preserve"> : healthy margin contribution.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COGS: $34M</w:t>
      </w:r>
      <w:r w:rsidDel="00000000" w:rsidR="00000000" w:rsidRPr="00000000">
        <w:rPr>
          <w:rtl w:val="0"/>
        </w:rPr>
        <w:t xml:space="preserve"> : cost base is significant and must be actively managed.</w:t>
      </w:r>
    </w:p>
    <w:p w:rsidR="00000000" w:rsidDel="00000000" w:rsidP="00000000" w:rsidRDefault="00000000" w:rsidRPr="00000000" w14:paraId="0000007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by Product Category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is </w:t>
      </w:r>
      <w:r w:rsidDel="00000000" w:rsidR="00000000" w:rsidRPr="00000000">
        <w:rPr>
          <w:b w:val="1"/>
          <w:bCs w:val="1"/>
          <w:rtl w:val="0"/>
        </w:rPr>
        <w:t xml:space="preserve">well diversified</w:t>
      </w:r>
      <w:r w:rsidDel="00000000" w:rsidR="00000000" w:rsidRPr="00000000">
        <w:rPr>
          <w:rtl w:val="0"/>
        </w:rPr>
        <w:t xml:space="preserve"> across categories—no single-category dependency.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Grocery, Jewelry, Toys, Sports, and Footwear</w:t>
      </w:r>
      <w:r w:rsidDel="00000000" w:rsidR="00000000" w:rsidRPr="00000000">
        <w:rPr>
          <w:rtl w:val="0"/>
        </w:rPr>
        <w:t xml:space="preserve"> lead revenue contribution.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Lower-ranked categories still contribute materially, indicating a </w:t>
      </w:r>
      <w:r w:rsidDel="00000000" w:rsidR="00000000" w:rsidRPr="00000000">
        <w:rPr>
          <w:b w:val="1"/>
          <w:bCs w:val="1"/>
          <w:rtl w:val="0"/>
        </w:rPr>
        <w:t xml:space="preserve">balanced assortment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The holiday portfolio is resilient, but growth is driven by a small set of high-performing categories.</w:t>
      </w:r>
    </w:p>
    <w:p w:rsidR="00000000" w:rsidDel="00000000" w:rsidP="00000000" w:rsidRDefault="00000000" w:rsidRPr="00000000" w14:paraId="00000076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v7d5n07aoayt" w:id="24"/>
      <w:bookmarkEnd w:id="24"/>
      <w:r w:rsidDel="00000000" w:rsidR="00000000" w:rsidRPr="00000000">
        <w:rPr>
          <w:sz w:val="34"/>
          <w:szCs w:val="34"/>
          <w:rtl w:val="0"/>
        </w:rPr>
        <w:t xml:space="preserve">Revenue by Subcategory (Top Performers)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Bracelets, Chocolate, Snacks, Non-Fiction, and Boots</w:t>
      </w:r>
      <w:r w:rsidDel="00000000" w:rsidR="00000000" w:rsidRPr="00000000">
        <w:rPr>
          <w:rtl w:val="0"/>
        </w:rPr>
        <w:t xml:space="preserve"> emerge as top subcategories.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products align strongly with </w:t>
      </w:r>
      <w:r w:rsidDel="00000000" w:rsidR="00000000" w:rsidRPr="00000000">
        <w:rPr>
          <w:b w:val="1"/>
          <w:bCs w:val="1"/>
          <w:rtl w:val="0"/>
        </w:rPr>
        <w:t xml:space="preserve">holiday gifting and seasonal demand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concentrated around </w:t>
      </w:r>
      <w:r w:rsidDel="00000000" w:rsidR="00000000" w:rsidRPr="00000000">
        <w:rPr>
          <w:b w:val="1"/>
          <w:bCs w:val="1"/>
          <w:rtl w:val="0"/>
        </w:rPr>
        <w:t xml:space="preserve">impulse-friendly and giftable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 Subcategory performance validates customer intent—giftability and convenience win during holidays.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by Subcategory (Top Performers)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Bracelets, Chocolate, Snacks, Non-Fiction, and Boots</w:t>
      </w:r>
      <w:r w:rsidDel="00000000" w:rsidR="00000000" w:rsidRPr="00000000">
        <w:rPr>
          <w:rtl w:val="0"/>
        </w:rPr>
        <w:t xml:space="preserve"> emerge as top subcategories.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products align strongly with </w:t>
      </w:r>
      <w:r w:rsidDel="00000000" w:rsidR="00000000" w:rsidRPr="00000000">
        <w:rPr>
          <w:b w:val="1"/>
          <w:bCs w:val="1"/>
          <w:rtl w:val="0"/>
        </w:rPr>
        <w:t xml:space="preserve">holiday gifting and seasonal demand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concentrated around </w:t>
      </w:r>
      <w:r w:rsidDel="00000000" w:rsidR="00000000" w:rsidRPr="00000000">
        <w:rPr>
          <w:b w:val="1"/>
          <w:bCs w:val="1"/>
          <w:rtl w:val="0"/>
        </w:rPr>
        <w:t xml:space="preserve">impulse-friendly and giftable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 Subcategory performance validates customer intent—giftability and convenience win during holidays.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by Seasonality Tag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Giftable products dominate revenue and profit</w:t>
      </w:r>
      <w:r w:rsidDel="00000000" w:rsidR="00000000" w:rsidRPr="00000000">
        <w:rPr>
          <w:rtl w:val="0"/>
        </w:rPr>
        <w:t xml:space="preserve">, outperforming Evergreen and Winter-only items.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Evergreen products provide stability but do not spike during peak season.</w:t>
        <w:br w:type="textWrapping"/>
        <w:t xml:space="preserve">Winter-specific items perform well but lack the upside of Giftable SKUs.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takeaway:</w:t>
        <w:br w:type="textWrapping"/>
      </w:r>
      <w:r w:rsidDel="00000000" w:rsidR="00000000" w:rsidRPr="00000000">
        <w:rPr>
          <w:rtl w:val="0"/>
        </w:rPr>
        <w:t xml:space="preserve"> Holiday success is driven more by </w:t>
      </w:r>
      <w:r w:rsidDel="00000000" w:rsidR="00000000" w:rsidRPr="00000000">
        <w:rPr>
          <w:b w:val="1"/>
          <w:bCs w:val="1"/>
          <w:rtl w:val="0"/>
        </w:rPr>
        <w:t xml:space="preserve">gift relevance</w:t>
      </w:r>
      <w:r w:rsidDel="00000000" w:rsidR="00000000" w:rsidRPr="00000000">
        <w:rPr>
          <w:rtl w:val="0"/>
        </w:rPr>
        <w:t xml:space="preserve"> than pure seasonality.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6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ind w:left="0" w:firstLine="0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943600" cy="3022600"/>
                  <wp:effectExtent b="0" l="0" r="0" t="0"/>
                  <wp:docPr descr="Top ProductID by Revenue Of each Category" id="2" name="image11.png"/>
                  <a:graphic>
                    <a:graphicData uri="http://schemas.openxmlformats.org/drawingml/2006/picture">
                      <pic:pic>
                        <pic:nvPicPr>
                          <pic:cNvPr descr="Top ProductID by Revenue Of each Category" id="0" name="image1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Top Product by Revenue Within Each Category (Table)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This table isolates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single highest-revenue SKU per category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Each category has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 hero product</w:t>
            </w:r>
            <w:r w:rsidDel="00000000" w:rsidR="00000000" w:rsidRPr="00000000">
              <w:rPr>
                <w:rtl w:val="0"/>
              </w:rPr>
              <w:t xml:space="preserve"> generating ~$10K–$12K+ profit.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Categories 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Footwear, Beauty, Jewelry, and Electronics</w:t>
            </w:r>
            <w:r w:rsidDel="00000000" w:rsidR="00000000" w:rsidRPr="00000000">
              <w:rPr>
                <w:rtl w:val="0"/>
              </w:rPr>
              <w:t xml:space="preserve"> show especially strong SKU-level economics.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matters:</w:t>
              <w:br w:type="textWrapping"/>
            </w:r>
            <w:r w:rsidDel="00000000" w:rsidR="00000000" w:rsidRPr="00000000">
              <w:rPr>
                <w:rtl w:val="0"/>
              </w:rPr>
              <w:t xml:space="preserve"> Holiday performance is driven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small number of hero SKUs</w:t>
            </w:r>
            <w:r w:rsidDel="00000000" w:rsidR="00000000" w:rsidRPr="00000000">
              <w:rPr>
                <w:rtl w:val="0"/>
              </w:rPr>
              <w:t xml:space="preserve">, not broad assortments.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ind w:left="0" w:firstLine="0"/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spacing w:after="80" w:before="360" w:line="360" w:lineRule="auto"/>
        <w:ind w:left="0" w:right="0" w:firstLine="0"/>
        <w:rPr>
          <w:sz w:val="34"/>
          <w:szCs w:val="34"/>
        </w:rPr>
      </w:pPr>
      <w:bookmarkStart w:colFirst="0" w:colLast="0" w:name="_qpcg6psdvtk5" w:id="25"/>
      <w:bookmarkEnd w:id="25"/>
      <w:r w:rsidDel="00000000" w:rsidR="00000000" w:rsidRPr="00000000">
        <w:rPr>
          <w:sz w:val="34"/>
          <w:szCs w:val="34"/>
          <w:rtl w:val="0"/>
        </w:rPr>
        <w:t xml:space="preserve"> Cross-Category Insight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High-performing categories consistently align with: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Giftable attributes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margins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Predictable demand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Long-tail SKUs add complexity without proportional profit return.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Hard truth:</w:t>
        <w:br w:type="textWrapping"/>
      </w:r>
      <w:r w:rsidDel="00000000" w:rsidR="00000000" w:rsidRPr="00000000">
        <w:rPr>
          <w:rtl w:val="0"/>
        </w:rPr>
        <w:t xml:space="preserve"> Assortment breadth increases operational cost without guaranteed payoff.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6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pStyle w:val="Heading2"/>
              <w:spacing w:after="80" w:before="360" w:line="360" w:lineRule="auto"/>
              <w:ind w:left="0" w:right="0" w:firstLine="0"/>
              <w:rPr>
                <w:sz w:val="34"/>
                <w:szCs w:val="34"/>
              </w:rPr>
            </w:pPr>
            <w:bookmarkStart w:colFirst="0" w:colLast="0" w:name="_f5daglaf8zu8" w:id="26"/>
            <w:bookmarkEnd w:id="26"/>
            <w:r w:rsidDel="00000000" w:rsidR="00000000" w:rsidRPr="00000000">
              <w:rPr>
                <w:sz w:val="34"/>
                <w:szCs w:val="34"/>
                <w:rtl w:val="0"/>
              </w:rPr>
              <w:t xml:space="preserve">Top 10 Strategic Recommendations — Product Performance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Double down on hero SKUs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Prioritize inventory, visibility, and replenishment for the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 product in each category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—these SKUs drive disproportionate revenue and profit.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Design campaigns around Giftable products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Giftable items deliver the highest revenue and profit. Make them the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centerpiece of holiday promotions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not a subset.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Rationalize long-tail assortment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Reduce exposure to low-velocity SKUs during peak season 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simplify operations and protect margin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Protect margin in high-volume categories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Actively monitor COGS for Grocery, Jewelry, Toys, and Footwear to prevent volume-driven margin erosion.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Scale winning subcategories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Increase allocation and marketing support for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Bracelets, Chocolate, Snacks, Non-Fiction, and Boots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which align with holiday buying behavior.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Guarantee omnichannel availability of top SKUs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Ensure hero products are consistently available across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online, BOPIS, and in-store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 avoid lost sales.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Shift promotions from discount-led to product-led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Promote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specific high-performing SKUs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instead of broad category discounts to improve ROI.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 seasonality tags as a planning lever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Treat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Giftable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as a strategic classification in demand planning, not just a label.</w:t>
              <w:br w:type="textWrapping"/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Align inventory depth with profitability, not revenue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Allocate deeper stock to SKUs with proven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profit contribution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not just high sales volume.</w:t>
              <w:br w:type="textWrapping"/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Create a repeatable holiday playbook</w:t>
              <w:br w:type="textWrapping"/>
              <w:t xml:space="preserve"> Codify these insights into a standardized holiday assortment and promotion strategy for future cycle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ind w:left="0" w:firstLine="0"/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ind w:left="0" w:firstLine="0"/>
              <w:rPr>
                <w:color w:val="605e5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default"/>
      <w:footerReference r:id="rId37" w:type="firs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spacing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6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Style w:val="Subtitle"/>
      <w:rPr/>
    </w:pPr>
    <w:bookmarkStart w:colFirst="0" w:colLast="0" w:name="_w494w0yg8rg0" w:id="28"/>
    <w:bookmarkEnd w:id="28"/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Style w:val="Subtitle"/>
      <w:spacing w:before="600" w:lineRule="auto"/>
      <w:rPr/>
    </w:pPr>
    <w:bookmarkStart w:colFirst="0" w:colLast="0" w:name="_leajue2ys1lr" w:id="27"/>
    <w:bookmarkEnd w:id="27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5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4.xml"/><Relationship Id="rId22" Type="http://schemas.openxmlformats.org/officeDocument/2006/relationships/header" Target="header6.xml"/><Relationship Id="rId21" Type="http://schemas.openxmlformats.org/officeDocument/2006/relationships/image" Target="media/image14.png"/><Relationship Id="rId24" Type="http://schemas.openxmlformats.org/officeDocument/2006/relationships/footer" Target="footer5.xml"/><Relationship Id="rId23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0.png"/><Relationship Id="rId25" Type="http://schemas.openxmlformats.org/officeDocument/2006/relationships/footer" Target="footer6.xml"/><Relationship Id="rId28" Type="http://schemas.openxmlformats.org/officeDocument/2006/relationships/header" Target="header8.xm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eader" Target="header7.xml"/><Relationship Id="rId7" Type="http://schemas.openxmlformats.org/officeDocument/2006/relationships/image" Target="media/image9.png"/><Relationship Id="rId8" Type="http://schemas.openxmlformats.org/officeDocument/2006/relationships/image" Target="media/image5.png"/><Relationship Id="rId31" Type="http://schemas.openxmlformats.org/officeDocument/2006/relationships/footer" Target="footer8.xml"/><Relationship Id="rId30" Type="http://schemas.openxmlformats.org/officeDocument/2006/relationships/footer" Target="footer7.xml"/><Relationship Id="rId11" Type="http://schemas.openxmlformats.org/officeDocument/2006/relationships/image" Target="media/image13.png"/><Relationship Id="rId33" Type="http://schemas.openxmlformats.org/officeDocument/2006/relationships/image" Target="media/image11.png"/><Relationship Id="rId10" Type="http://schemas.openxmlformats.org/officeDocument/2006/relationships/image" Target="media/image6.png"/><Relationship Id="rId32" Type="http://schemas.openxmlformats.org/officeDocument/2006/relationships/image" Target="media/image7.png"/><Relationship Id="rId13" Type="http://schemas.openxmlformats.org/officeDocument/2006/relationships/header" Target="header1.xml"/><Relationship Id="rId35" Type="http://schemas.openxmlformats.org/officeDocument/2006/relationships/header" Target="header9.xml"/><Relationship Id="rId12" Type="http://schemas.openxmlformats.org/officeDocument/2006/relationships/image" Target="media/image12.png"/><Relationship Id="rId34" Type="http://schemas.openxmlformats.org/officeDocument/2006/relationships/header" Target="header10.xml"/><Relationship Id="rId15" Type="http://schemas.openxmlformats.org/officeDocument/2006/relationships/footer" Target="footer1.xml"/><Relationship Id="rId37" Type="http://schemas.openxmlformats.org/officeDocument/2006/relationships/footer" Target="footer10.xml"/><Relationship Id="rId14" Type="http://schemas.openxmlformats.org/officeDocument/2006/relationships/header" Target="header2.xml"/><Relationship Id="rId36" Type="http://schemas.openxmlformats.org/officeDocument/2006/relationships/footer" Target="footer9.xml"/><Relationship Id="rId17" Type="http://schemas.openxmlformats.org/officeDocument/2006/relationships/header" Target="header4.xml"/><Relationship Id="rId16" Type="http://schemas.openxmlformats.org/officeDocument/2006/relationships/footer" Target="footer2.xml"/><Relationship Id="rId19" Type="http://schemas.openxmlformats.org/officeDocument/2006/relationships/footer" Target="footer3.xml"/><Relationship Id="rId1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Lexend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9" Type="http://schemas.openxmlformats.org/officeDocument/2006/relationships/font" Target="fonts/Lexend-regular.ttf"/><Relationship Id="rId14" Type="http://schemas.openxmlformats.org/officeDocument/2006/relationships/font" Target="fonts/OpenSans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